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5B63" w14:textId="21909D62" w:rsidR="00A2379A" w:rsidRDefault="00C03367" w:rsidP="00A2379A">
      <w:pPr>
        <w:pStyle w:val="NormalWeb"/>
        <w:rPr>
          <w:rFonts w:asciiTheme="minorHAnsi" w:hAnsiTheme="minorHAnsi" w:cstheme="minorHAnsi"/>
          <w:color w:val="000000"/>
        </w:rPr>
      </w:pPr>
      <w:r>
        <w:rPr>
          <w:b/>
          <w:bCs/>
          <w:smallCaps/>
          <w:noProof/>
          <w:sz w:val="28"/>
          <w:szCs w:val="28"/>
        </w:rPr>
        <w:drawing>
          <wp:inline distT="0" distB="0" distL="0" distR="0" wp14:anchorId="43F28B53" wp14:editId="383D7A98">
            <wp:extent cx="3642638" cy="1280160"/>
            <wp:effectExtent l="0" t="0" r="0" b="0"/>
            <wp:docPr id="3" name="Picture 3" descr="cid:image001.jpg@01D08D97.0275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97.02753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70899" cy="1290092"/>
                    </a:xfrm>
                    <a:prstGeom prst="rect">
                      <a:avLst/>
                    </a:prstGeom>
                    <a:noFill/>
                    <a:ln>
                      <a:noFill/>
                    </a:ln>
                  </pic:spPr>
                </pic:pic>
              </a:graphicData>
            </a:graphic>
          </wp:inline>
        </w:drawing>
      </w:r>
    </w:p>
    <w:p w14:paraId="4CD9146C" w14:textId="64E8BD95" w:rsidR="003245B3" w:rsidRDefault="00A2379A" w:rsidP="00C03367">
      <w:pPr>
        <w:pStyle w:val="NormalWeb"/>
        <w:rPr>
          <w:rFonts w:asciiTheme="minorHAnsi" w:hAnsiTheme="minorHAnsi" w:cstheme="minorHAnsi"/>
          <w:color w:val="000000"/>
        </w:rPr>
      </w:pPr>
      <w:r>
        <w:rPr>
          <w:rFonts w:asciiTheme="minorHAnsi" w:hAnsiTheme="minorHAnsi" w:cstheme="minorHAnsi"/>
          <w:color w:val="000000"/>
        </w:rPr>
        <w:t> </w:t>
      </w:r>
    </w:p>
    <w:p w14:paraId="2B5F762B" w14:textId="787D484D" w:rsidR="00C03367"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To:       Deans, </w:t>
      </w:r>
      <w:r w:rsidR="00C03367">
        <w:rPr>
          <w:rFonts w:asciiTheme="minorHAnsi" w:hAnsiTheme="minorHAnsi" w:cstheme="minorHAnsi"/>
          <w:color w:val="000000"/>
        </w:rPr>
        <w:t>Department Chairs/Program Heads, and Graduate Coordinators</w:t>
      </w:r>
      <w:r>
        <w:rPr>
          <w:rFonts w:asciiTheme="minorHAnsi" w:hAnsiTheme="minorHAnsi" w:cstheme="minorHAnsi"/>
          <w:color w:val="000000"/>
        </w:rPr>
        <w:br/>
        <w:t xml:space="preserve">From:   </w:t>
      </w:r>
      <w:r w:rsidR="00C03367">
        <w:rPr>
          <w:rFonts w:asciiTheme="minorHAnsi" w:hAnsiTheme="minorHAnsi" w:cstheme="minorHAnsi"/>
          <w:color w:val="000000"/>
        </w:rPr>
        <w:t>James Beck, Graduate Policy Program Coordinator</w:t>
      </w:r>
    </w:p>
    <w:p w14:paraId="06899D44" w14:textId="454B8F3E" w:rsidR="00C60FDE"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Re:       </w:t>
      </w:r>
      <w:r w:rsidR="000D774A">
        <w:rPr>
          <w:rFonts w:asciiTheme="minorHAnsi" w:hAnsiTheme="minorHAnsi" w:cstheme="minorHAnsi"/>
          <w:color w:val="000000"/>
        </w:rPr>
        <w:t>Summer 2021</w:t>
      </w:r>
      <w:r w:rsidR="00C60FDE" w:rsidRPr="00C60FDE">
        <w:rPr>
          <w:rFonts w:asciiTheme="minorHAnsi" w:hAnsiTheme="minorHAnsi" w:cstheme="minorHAnsi"/>
          <w:color w:val="000000"/>
        </w:rPr>
        <w:t xml:space="preserve"> Graduate School Policy and Procedure Memo</w:t>
      </w:r>
    </w:p>
    <w:p w14:paraId="4C7CDDBB" w14:textId="044F1B6F" w:rsidR="00A2379A" w:rsidRDefault="00D675C0"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Date:   </w:t>
      </w:r>
      <w:r w:rsidR="00F254F4">
        <w:rPr>
          <w:rFonts w:asciiTheme="minorHAnsi" w:hAnsiTheme="minorHAnsi" w:cstheme="minorHAnsi"/>
          <w:color w:val="000000"/>
        </w:rPr>
        <w:t>May 4</w:t>
      </w:r>
      <w:r w:rsidR="000D774A">
        <w:rPr>
          <w:rFonts w:asciiTheme="minorHAnsi" w:hAnsiTheme="minorHAnsi" w:cstheme="minorHAnsi"/>
          <w:color w:val="000000"/>
        </w:rPr>
        <w:t>, 2021</w:t>
      </w:r>
    </w:p>
    <w:p w14:paraId="6D533356" w14:textId="77777777" w:rsidR="00A2379A" w:rsidRDefault="00A2379A" w:rsidP="00A2379A">
      <w:pPr>
        <w:pStyle w:val="NormalWeb"/>
        <w:spacing w:line="276" w:lineRule="auto"/>
        <w:rPr>
          <w:rFonts w:asciiTheme="minorHAnsi" w:hAnsiTheme="minorHAnsi" w:cstheme="minorHAnsi"/>
          <w:color w:val="000000"/>
        </w:rPr>
      </w:pPr>
    </w:p>
    <w:p w14:paraId="4ADB53B8" w14:textId="748371AE" w:rsidR="004839BD" w:rsidRDefault="00A2379A" w:rsidP="00A2379A">
      <w:pPr>
        <w:pStyle w:val="NormalWeb"/>
        <w:rPr>
          <w:rFonts w:asciiTheme="minorHAnsi" w:hAnsiTheme="minorHAnsi" w:cstheme="minorHAnsi"/>
          <w:color w:val="000000"/>
        </w:rPr>
      </w:pPr>
      <w:r>
        <w:rPr>
          <w:rFonts w:asciiTheme="minorHAnsi" w:hAnsiTheme="minorHAnsi" w:cstheme="minorHAnsi"/>
          <w:color w:val="000000"/>
        </w:rPr>
        <w:t>*Please give carefu</w:t>
      </w:r>
      <w:r w:rsidR="004839BD">
        <w:rPr>
          <w:rFonts w:asciiTheme="minorHAnsi" w:hAnsiTheme="minorHAnsi" w:cstheme="minorHAnsi"/>
          <w:color w:val="000000"/>
        </w:rPr>
        <w:t>l atten</w:t>
      </w:r>
      <w:bookmarkStart w:id="0" w:name="_GoBack"/>
      <w:bookmarkEnd w:id="0"/>
      <w:r w:rsidR="004839BD">
        <w:rPr>
          <w:rFonts w:asciiTheme="minorHAnsi" w:hAnsiTheme="minorHAnsi" w:cstheme="minorHAnsi"/>
          <w:color w:val="000000"/>
        </w:rPr>
        <w:t xml:space="preserve">tion to this memorandum, </w:t>
      </w:r>
      <w:r w:rsidR="004839BD" w:rsidRPr="004839BD">
        <w:rPr>
          <w:rFonts w:asciiTheme="minorHAnsi" w:hAnsiTheme="minorHAnsi" w:cstheme="minorHAnsi"/>
          <w:color w:val="000000"/>
        </w:rPr>
        <w:t>but please note that it is not exhaustive and faculty, staff, and students are encouraged to familiarize themselves with all policies affecting graduate education at FSU.</w:t>
      </w:r>
    </w:p>
    <w:p w14:paraId="16BE64BE" w14:textId="77777777" w:rsidR="004839BD" w:rsidRDefault="004839BD" w:rsidP="00A2379A">
      <w:pPr>
        <w:pStyle w:val="NormalWeb"/>
        <w:rPr>
          <w:rFonts w:asciiTheme="minorHAnsi" w:hAnsiTheme="minorHAnsi" w:cstheme="minorHAnsi"/>
          <w:color w:val="000000"/>
        </w:rPr>
      </w:pPr>
    </w:p>
    <w:p w14:paraId="2BE5535E" w14:textId="57F5E99A" w:rsidR="00A2379A" w:rsidRDefault="00B0383B" w:rsidP="00A2379A">
      <w:pPr>
        <w:pStyle w:val="NormalWeb"/>
        <w:rPr>
          <w:rFonts w:asciiTheme="minorHAnsi" w:hAnsiTheme="minorHAnsi" w:cstheme="minorHAnsi"/>
          <w:color w:val="000000"/>
        </w:rPr>
      </w:pPr>
      <w:r>
        <w:rPr>
          <w:rFonts w:asciiTheme="minorHAnsi" w:hAnsiTheme="minorHAnsi" w:cstheme="minorHAnsi"/>
          <w:color w:val="000000"/>
        </w:rPr>
        <w:t xml:space="preserve">A copy of this memo will be posted on the </w:t>
      </w:r>
      <w:hyperlink r:id="rId10" w:history="1">
        <w:r w:rsidRPr="004839BD">
          <w:rPr>
            <w:rStyle w:val="Hyperlink"/>
            <w:rFonts w:asciiTheme="minorHAnsi" w:hAnsiTheme="minorHAnsi" w:cstheme="minorHAnsi"/>
          </w:rPr>
          <w:t>Graduate School’s Faculty/Staff Website</w:t>
        </w:r>
      </w:hyperlink>
      <w:r>
        <w:rPr>
          <w:rFonts w:asciiTheme="minorHAnsi" w:hAnsiTheme="minorHAnsi" w:cstheme="minorHAnsi"/>
          <w:color w:val="000000"/>
        </w:rPr>
        <w:t xml:space="preserve"> as well as uploaded to the </w:t>
      </w:r>
      <w:hyperlink r:id="rId11" w:history="1">
        <w:r w:rsidRPr="004839BD">
          <w:rPr>
            <w:rStyle w:val="Hyperlink"/>
            <w:rFonts w:asciiTheme="minorHAnsi" w:hAnsiTheme="minorHAnsi" w:cstheme="minorHAnsi"/>
          </w:rPr>
          <w:t>Graduate Policy Database</w:t>
        </w:r>
      </w:hyperlink>
      <w:r>
        <w:rPr>
          <w:rFonts w:asciiTheme="minorHAnsi" w:hAnsiTheme="minorHAnsi" w:cstheme="minorHAnsi"/>
          <w:color w:val="000000"/>
        </w:rPr>
        <w:t xml:space="preserve">. </w:t>
      </w:r>
    </w:p>
    <w:p w14:paraId="17BC10FF"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4E4C3EE" w14:textId="0B5DA8B2" w:rsidR="00A2379A" w:rsidRDefault="00A2379A" w:rsidP="00A2379A">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New/Updated Graduate Policies:</w:t>
      </w:r>
    </w:p>
    <w:p w14:paraId="773D4B43" w14:textId="4F63B0B4" w:rsidR="00A2379A" w:rsidRDefault="00A2379A" w:rsidP="00A2379A">
      <w:pPr>
        <w:pStyle w:val="NormalWeb"/>
        <w:rPr>
          <w:rFonts w:asciiTheme="minorHAnsi" w:hAnsiTheme="minorHAnsi" w:cstheme="minorHAnsi"/>
          <w:b/>
          <w:bCs/>
          <w:color w:val="000000"/>
          <w:u w:val="single"/>
        </w:rPr>
      </w:pPr>
    </w:p>
    <w:p w14:paraId="057D4653" w14:textId="6636AD3F"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The following items w</w:t>
      </w:r>
      <w:r w:rsidR="000D774A">
        <w:rPr>
          <w:rFonts w:asciiTheme="minorHAnsi" w:hAnsiTheme="minorHAnsi" w:cstheme="minorHAnsi"/>
          <w:color w:val="000000"/>
        </w:rPr>
        <w:t>ere established as a new policy or were updated:</w:t>
      </w:r>
      <w:r>
        <w:rPr>
          <w:rFonts w:asciiTheme="minorHAnsi" w:hAnsiTheme="minorHAnsi" w:cstheme="minorHAnsi"/>
          <w:color w:val="000000"/>
        </w:rPr>
        <w:t xml:space="preserve"> </w:t>
      </w:r>
    </w:p>
    <w:p w14:paraId="31FF90BB" w14:textId="77777777" w:rsidR="00A2379A" w:rsidRDefault="00A2379A" w:rsidP="00A2379A">
      <w:pPr>
        <w:pStyle w:val="NormalWeb"/>
        <w:rPr>
          <w:rFonts w:asciiTheme="minorHAnsi" w:hAnsiTheme="minorHAnsi" w:cstheme="minorHAnsi"/>
          <w:color w:val="000000"/>
        </w:rPr>
      </w:pPr>
    </w:p>
    <w:p w14:paraId="346020B7" w14:textId="4E76F1E2" w:rsidR="00A2379A" w:rsidRPr="00BA3962" w:rsidRDefault="000D774A" w:rsidP="00366004">
      <w:pPr>
        <w:numPr>
          <w:ilvl w:val="0"/>
          <w:numId w:val="1"/>
        </w:numPr>
        <w:rPr>
          <w:rFonts w:asciiTheme="minorHAnsi" w:eastAsia="Times New Roman" w:hAnsiTheme="minorHAnsi" w:cstheme="minorHAnsi"/>
          <w:b/>
          <w:color w:val="000000"/>
        </w:rPr>
      </w:pPr>
      <w:r w:rsidRPr="00BA3962">
        <w:rPr>
          <w:rFonts w:asciiTheme="minorHAnsi" w:eastAsia="Times New Roman" w:hAnsiTheme="minorHAnsi" w:cstheme="minorHAnsi"/>
          <w:b/>
          <w:color w:val="000000"/>
          <w:u w:val="single"/>
        </w:rPr>
        <w:t>Preliminary Exam Policy Update:</w:t>
      </w:r>
    </w:p>
    <w:p w14:paraId="402C7085" w14:textId="113246F9" w:rsidR="00C83D50" w:rsidRDefault="00A2379A" w:rsidP="000D774A">
      <w:pPr>
        <w:pStyle w:val="NormalWeb"/>
        <w:ind w:left="720"/>
        <w:rPr>
          <w:rFonts w:asciiTheme="minorHAnsi" w:hAnsiTheme="minorHAnsi" w:cstheme="minorHAnsi"/>
          <w:color w:val="000000"/>
        </w:rPr>
      </w:pPr>
      <w:r>
        <w:rPr>
          <w:rFonts w:asciiTheme="minorHAnsi" w:hAnsiTheme="minorHAnsi" w:cstheme="minorHAnsi"/>
          <w:color w:val="000000"/>
        </w:rPr>
        <w:t> </w:t>
      </w:r>
    </w:p>
    <w:p w14:paraId="0DA2F834" w14:textId="4D2F88E8" w:rsidR="000D774A" w:rsidRPr="00D879A4" w:rsidRDefault="000D774A" w:rsidP="000D774A">
      <w:pPr>
        <w:pStyle w:val="NormalWeb"/>
        <w:rPr>
          <w:rFonts w:asciiTheme="minorHAnsi" w:hAnsiTheme="minorHAnsi" w:cstheme="minorHAnsi"/>
          <w:bCs/>
          <w:color w:val="000000"/>
        </w:rPr>
      </w:pPr>
      <w:r>
        <w:rPr>
          <w:rFonts w:asciiTheme="minorHAnsi" w:hAnsiTheme="minorHAnsi" w:cstheme="minorHAnsi"/>
          <w:bCs/>
          <w:color w:val="000000"/>
        </w:rPr>
        <w:t>(</w:t>
      </w:r>
      <w:r w:rsidRPr="005F64C1">
        <w:rPr>
          <w:rFonts w:asciiTheme="minorHAnsi" w:hAnsiTheme="minorHAnsi" w:cstheme="minorHAnsi"/>
          <w:bCs/>
          <w:color w:val="000000"/>
        </w:rPr>
        <w:t xml:space="preserve">Approved by the GPC on 1/11/21 and Faculty Senate on 1/20/21. </w:t>
      </w:r>
      <w:r>
        <w:rPr>
          <w:rFonts w:asciiTheme="minorHAnsi" w:hAnsiTheme="minorHAnsi" w:cstheme="minorHAnsi"/>
          <w:bCs/>
          <w:color w:val="000000"/>
        </w:rPr>
        <w:t>This l</w:t>
      </w:r>
      <w:r w:rsidRPr="005F64C1">
        <w:rPr>
          <w:rFonts w:asciiTheme="minorHAnsi" w:hAnsiTheme="minorHAnsi" w:cstheme="minorHAnsi"/>
          <w:bCs/>
          <w:color w:val="000000"/>
        </w:rPr>
        <w:t>anguage will be inserted in</w:t>
      </w:r>
      <w:r>
        <w:rPr>
          <w:rFonts w:asciiTheme="minorHAnsi" w:hAnsiTheme="minorHAnsi" w:cstheme="minorHAnsi"/>
          <w:bCs/>
          <w:color w:val="000000"/>
        </w:rPr>
        <w:t>to</w:t>
      </w:r>
      <w:r w:rsidRPr="005F64C1">
        <w:rPr>
          <w:rFonts w:asciiTheme="minorHAnsi" w:hAnsiTheme="minorHAnsi" w:cstheme="minorHAnsi"/>
          <w:bCs/>
          <w:color w:val="000000"/>
        </w:rPr>
        <w:t xml:space="preserve"> the 2021-2022 Graduate Bulletin under the ‘Graduate Degree and Certificate Requirements’ Section</w:t>
      </w:r>
      <w:r>
        <w:rPr>
          <w:rFonts w:asciiTheme="minorHAnsi" w:hAnsiTheme="minorHAnsi" w:cstheme="minorHAnsi"/>
          <w:bCs/>
          <w:color w:val="000000"/>
        </w:rPr>
        <w:t>, replacing the last paragraph of the current language</w:t>
      </w:r>
      <w:r w:rsidRPr="005F64C1">
        <w:rPr>
          <w:rFonts w:asciiTheme="minorHAnsi" w:hAnsiTheme="minorHAnsi" w:cstheme="minorHAnsi"/>
          <w:bCs/>
          <w:color w:val="000000"/>
        </w:rPr>
        <w:t>.</w:t>
      </w:r>
      <w:r>
        <w:rPr>
          <w:rFonts w:asciiTheme="minorHAnsi" w:hAnsiTheme="minorHAnsi" w:cstheme="minorHAnsi"/>
          <w:bCs/>
          <w:color w:val="000000"/>
        </w:rPr>
        <w:t xml:space="preserve"> The remaining paragraphs stay the same. The updated policy goes into effect in </w:t>
      </w:r>
      <w:proofErr w:type="gramStart"/>
      <w:r>
        <w:rPr>
          <w:rFonts w:asciiTheme="minorHAnsi" w:hAnsiTheme="minorHAnsi" w:cstheme="minorHAnsi"/>
          <w:bCs/>
          <w:color w:val="000000"/>
        </w:rPr>
        <w:t>Summer</w:t>
      </w:r>
      <w:proofErr w:type="gramEnd"/>
      <w:r>
        <w:rPr>
          <w:rFonts w:asciiTheme="minorHAnsi" w:hAnsiTheme="minorHAnsi" w:cstheme="minorHAnsi"/>
          <w:bCs/>
          <w:color w:val="000000"/>
        </w:rPr>
        <w:t xml:space="preserve"> 2021)</w:t>
      </w:r>
    </w:p>
    <w:p w14:paraId="4018AAF9" w14:textId="77777777" w:rsidR="000D774A" w:rsidRDefault="000D774A" w:rsidP="000D774A">
      <w:pPr>
        <w:pStyle w:val="NormalWeb"/>
        <w:rPr>
          <w:rFonts w:asciiTheme="minorHAnsi" w:hAnsiTheme="minorHAnsi" w:cstheme="minorHAnsi"/>
          <w:color w:val="000000"/>
        </w:rPr>
      </w:pPr>
      <w:r>
        <w:rPr>
          <w:rFonts w:asciiTheme="minorHAnsi" w:hAnsiTheme="minorHAnsi" w:cstheme="minorHAnsi"/>
          <w:color w:val="000000"/>
        </w:rPr>
        <w:t> </w:t>
      </w:r>
    </w:p>
    <w:p w14:paraId="0D63E242" w14:textId="77777777" w:rsidR="000D774A" w:rsidRPr="00BA3962" w:rsidRDefault="000D774A" w:rsidP="000D774A">
      <w:pPr>
        <w:pStyle w:val="NormalWeb"/>
        <w:rPr>
          <w:rFonts w:asciiTheme="minorHAnsi" w:hAnsiTheme="minorHAnsi" w:cstheme="minorHAnsi"/>
          <w:bCs/>
          <w:color w:val="000000"/>
        </w:rPr>
      </w:pPr>
      <w:r w:rsidRPr="00BA3962">
        <w:rPr>
          <w:rFonts w:asciiTheme="minorHAnsi" w:hAnsiTheme="minorHAnsi" w:cstheme="minorHAnsi"/>
          <w:bCs/>
          <w:color w:val="000000"/>
        </w:rPr>
        <w:t xml:space="preserve">“If a student fails the preliminary examination before being admitted to candidacy, a re-examination may be offered by the student’s supervisory committee or other relevant decision making body within each department or unit, per that department or unit’s doctoral student handbook. The Academic Dean’s office should be notified of the outcome of any preliminary exam attempt. </w:t>
      </w:r>
    </w:p>
    <w:p w14:paraId="4BEBC29C" w14:textId="77777777" w:rsidR="000D774A" w:rsidRPr="00BA3962" w:rsidRDefault="000D774A" w:rsidP="000D774A">
      <w:pPr>
        <w:pStyle w:val="NormalWeb"/>
        <w:rPr>
          <w:rFonts w:asciiTheme="minorHAnsi" w:hAnsiTheme="minorHAnsi" w:cstheme="minorHAnsi"/>
          <w:bCs/>
          <w:color w:val="000000"/>
        </w:rPr>
      </w:pPr>
    </w:p>
    <w:p w14:paraId="2E95C333" w14:textId="77777777" w:rsidR="000D774A" w:rsidRPr="00BA3962" w:rsidRDefault="000D774A" w:rsidP="000D774A">
      <w:pPr>
        <w:pStyle w:val="NormalWeb"/>
        <w:rPr>
          <w:rFonts w:asciiTheme="minorHAnsi" w:hAnsiTheme="minorHAnsi" w:cstheme="minorHAnsi"/>
          <w:bCs/>
          <w:color w:val="000000"/>
        </w:rPr>
      </w:pPr>
      <w:r w:rsidRPr="00BA3962">
        <w:rPr>
          <w:rFonts w:asciiTheme="minorHAnsi" w:hAnsiTheme="minorHAnsi" w:cstheme="minorHAnsi"/>
          <w:bCs/>
          <w:color w:val="000000"/>
        </w:rPr>
        <w:t xml:space="preserve">Students can take the preliminary examination for admission to candidacy only two times. A second failure on the preliminary exam makes the student ineligible to continue in the degree program. The second attempt at the preliminary exam shall occur no sooner than six full class weeks after the results of the first attempt are shared with the student. For the purpose of this policy, a “full class week” is defined as a week with five days during which classes are held at FSU. Students must be registered separately for their first and second attempt, if necessary within the same semester, and must receive either a “pass” or a “fail” grade for each attempt. </w:t>
      </w:r>
    </w:p>
    <w:p w14:paraId="426E3DEA" w14:textId="77777777" w:rsidR="000D774A" w:rsidRPr="00BA3962" w:rsidRDefault="000D774A" w:rsidP="000D774A">
      <w:pPr>
        <w:pStyle w:val="NormalWeb"/>
        <w:rPr>
          <w:rFonts w:asciiTheme="minorHAnsi" w:hAnsiTheme="minorHAnsi" w:cstheme="minorHAnsi"/>
          <w:bCs/>
          <w:color w:val="000000"/>
        </w:rPr>
      </w:pPr>
    </w:p>
    <w:p w14:paraId="1A4A114D" w14:textId="77777777" w:rsidR="000D774A" w:rsidRPr="00BA3962" w:rsidRDefault="000D774A" w:rsidP="000D774A">
      <w:pPr>
        <w:pStyle w:val="NormalWeb"/>
        <w:rPr>
          <w:rFonts w:asciiTheme="minorHAnsi" w:hAnsiTheme="minorHAnsi" w:cstheme="minorHAnsi"/>
          <w:bCs/>
          <w:color w:val="000000"/>
        </w:rPr>
      </w:pPr>
      <w:r w:rsidRPr="00BA3962">
        <w:rPr>
          <w:rFonts w:asciiTheme="minorHAnsi" w:hAnsiTheme="minorHAnsi" w:cstheme="minorHAnsi"/>
          <w:bCs/>
          <w:color w:val="000000"/>
        </w:rPr>
        <w:t>An exception request regarding the timing of the re-examination can be submitted for consideration to the Academic Dean’s Office by either the student or the supervisory committee. Students who allege that academic regulations and/or procedures were improperly applied for the re-examination of their preliminary exam may have their grievances addressed through the general academic appeals process. The full preliminary exam policy as listed here must be added to all doctoral student handbooks.”</w:t>
      </w:r>
    </w:p>
    <w:p w14:paraId="06049C5F" w14:textId="442A4EFB" w:rsidR="004766DE" w:rsidRDefault="004766DE" w:rsidP="004766DE">
      <w:pPr>
        <w:pStyle w:val="NormalWeb"/>
        <w:rPr>
          <w:rFonts w:asciiTheme="minorHAnsi" w:hAnsiTheme="minorHAnsi" w:cstheme="minorHAnsi"/>
          <w:color w:val="000000"/>
        </w:rPr>
      </w:pPr>
    </w:p>
    <w:p w14:paraId="63C70F1D" w14:textId="245CC42B" w:rsidR="00A2379A" w:rsidRPr="00BA3962" w:rsidRDefault="00B831BA" w:rsidP="004766DE">
      <w:pPr>
        <w:pStyle w:val="NormalWeb"/>
        <w:numPr>
          <w:ilvl w:val="0"/>
          <w:numId w:val="1"/>
        </w:numPr>
        <w:rPr>
          <w:rFonts w:asciiTheme="minorHAnsi" w:hAnsiTheme="minorHAnsi" w:cstheme="minorHAnsi"/>
          <w:b/>
          <w:color w:val="000000"/>
          <w:sz w:val="24"/>
          <w:szCs w:val="24"/>
        </w:rPr>
      </w:pPr>
      <w:r w:rsidRPr="00BA3962">
        <w:rPr>
          <w:rFonts w:asciiTheme="minorHAnsi" w:eastAsia="Times New Roman" w:hAnsiTheme="minorHAnsi" w:cstheme="minorHAnsi"/>
          <w:b/>
          <w:color w:val="000000"/>
          <w:sz w:val="24"/>
          <w:szCs w:val="24"/>
          <w:u w:val="single"/>
        </w:rPr>
        <w:t>Manuscript Cleara</w:t>
      </w:r>
      <w:r w:rsidR="00E164D7" w:rsidRPr="00BA3962">
        <w:rPr>
          <w:rFonts w:asciiTheme="minorHAnsi" w:eastAsia="Times New Roman" w:hAnsiTheme="minorHAnsi" w:cstheme="minorHAnsi"/>
          <w:b/>
          <w:color w:val="000000"/>
          <w:sz w:val="24"/>
          <w:szCs w:val="24"/>
          <w:u w:val="single"/>
        </w:rPr>
        <w:t xml:space="preserve">nce Defense Decision Definitions and </w:t>
      </w:r>
      <w:r w:rsidRPr="00BA3962">
        <w:rPr>
          <w:rFonts w:asciiTheme="minorHAnsi" w:eastAsia="Times New Roman" w:hAnsiTheme="minorHAnsi" w:cstheme="minorHAnsi"/>
          <w:b/>
          <w:color w:val="000000"/>
          <w:sz w:val="24"/>
          <w:szCs w:val="24"/>
          <w:u w:val="single"/>
        </w:rPr>
        <w:t>Guidance:</w:t>
      </w:r>
    </w:p>
    <w:p w14:paraId="669BB389" w14:textId="35783E81" w:rsidR="00A2379A" w:rsidRPr="00BA3962" w:rsidRDefault="00B831BA" w:rsidP="003245B3">
      <w:pPr>
        <w:spacing w:before="100" w:beforeAutospacing="1" w:after="200"/>
        <w:rPr>
          <w:rFonts w:asciiTheme="minorHAnsi" w:eastAsia="Times New Roman" w:hAnsiTheme="minorHAnsi" w:cstheme="minorHAnsi"/>
          <w:color w:val="000000"/>
          <w:sz w:val="22"/>
          <w:szCs w:val="22"/>
        </w:rPr>
      </w:pPr>
      <w:r w:rsidRPr="00BA3962">
        <w:rPr>
          <w:rFonts w:asciiTheme="minorHAnsi" w:hAnsiTheme="minorHAnsi" w:cstheme="minorHAnsi"/>
          <w:bCs/>
          <w:color w:val="000000"/>
          <w:sz w:val="22"/>
          <w:szCs w:val="22"/>
        </w:rPr>
        <w:t>(</w:t>
      </w:r>
      <w:r w:rsidR="00BA3962" w:rsidRPr="00BA3962">
        <w:rPr>
          <w:rFonts w:asciiTheme="minorHAnsi" w:hAnsiTheme="minorHAnsi" w:cstheme="minorHAnsi"/>
          <w:bCs/>
          <w:color w:val="000000"/>
          <w:sz w:val="22"/>
          <w:szCs w:val="22"/>
        </w:rPr>
        <w:t xml:space="preserve">See attached for the full policy. </w:t>
      </w:r>
      <w:r w:rsidRPr="00BA3962">
        <w:rPr>
          <w:rFonts w:asciiTheme="minorHAnsi" w:hAnsiTheme="minorHAnsi" w:cstheme="minorHAnsi"/>
          <w:bCs/>
          <w:color w:val="000000"/>
          <w:sz w:val="22"/>
          <w:szCs w:val="22"/>
        </w:rPr>
        <w:t>Approved by the GPC on 1/25/21 and Faculty Senate on 2/24/21</w:t>
      </w:r>
      <w:r w:rsidR="00A2379A" w:rsidRPr="00BA3962">
        <w:rPr>
          <w:rFonts w:asciiTheme="minorHAnsi" w:hAnsiTheme="minorHAnsi" w:cstheme="minorHAnsi"/>
          <w:bCs/>
          <w:color w:val="000000"/>
          <w:sz w:val="22"/>
          <w:szCs w:val="22"/>
        </w:rPr>
        <w:t xml:space="preserve">). </w:t>
      </w:r>
    </w:p>
    <w:p w14:paraId="214D1431" w14:textId="30C890D2" w:rsidR="00E164D7" w:rsidRDefault="00E164D7" w:rsidP="002E706D">
      <w:pPr>
        <w:pStyle w:val="NormalWeb"/>
        <w:rPr>
          <w:rFonts w:asciiTheme="minorHAnsi" w:hAnsiTheme="minorHAnsi" w:cstheme="minorHAnsi"/>
          <w:color w:val="000000"/>
        </w:rPr>
      </w:pPr>
      <w:r>
        <w:rPr>
          <w:rFonts w:asciiTheme="minorHAnsi" w:hAnsiTheme="minorHAnsi" w:cstheme="minorHAnsi"/>
          <w:color w:val="000000"/>
        </w:rPr>
        <w:lastRenderedPageBreak/>
        <w:t>In the past, T</w:t>
      </w:r>
      <w:r w:rsidR="00B831BA" w:rsidRPr="00B831BA">
        <w:rPr>
          <w:rFonts w:asciiTheme="minorHAnsi" w:hAnsiTheme="minorHAnsi" w:cstheme="minorHAnsi"/>
          <w:color w:val="000000"/>
        </w:rPr>
        <w:t>he Graduate School has shied away from creating definitions for defense decisions for thesis, treatise or dissertation students to allow flexibility in the process. However, the Ma</w:t>
      </w:r>
      <w:r>
        <w:rPr>
          <w:rFonts w:asciiTheme="minorHAnsi" w:hAnsiTheme="minorHAnsi" w:cstheme="minorHAnsi"/>
          <w:color w:val="000000"/>
        </w:rPr>
        <w:t>nuscript Clearance Office regularly received</w:t>
      </w:r>
      <w:r w:rsidR="00B831BA" w:rsidRPr="00B831BA">
        <w:rPr>
          <w:rFonts w:asciiTheme="minorHAnsi" w:hAnsiTheme="minorHAnsi" w:cstheme="minorHAnsi"/>
          <w:color w:val="000000"/>
        </w:rPr>
        <w:t xml:space="preserve"> questions about the difference between “Re-Exam” and “Fail”. Based on the experience of the Manuscript Clearance </w:t>
      </w:r>
      <w:r>
        <w:rPr>
          <w:rFonts w:asciiTheme="minorHAnsi" w:hAnsiTheme="minorHAnsi" w:cstheme="minorHAnsi"/>
          <w:color w:val="000000"/>
        </w:rPr>
        <w:t>Office, “Re-Exam” and “Fail” were</w:t>
      </w:r>
      <w:r w:rsidR="00B831BA" w:rsidRPr="00B831BA">
        <w:rPr>
          <w:rFonts w:asciiTheme="minorHAnsi" w:hAnsiTheme="minorHAnsi" w:cstheme="minorHAnsi"/>
          <w:color w:val="000000"/>
        </w:rPr>
        <w:t xml:space="preserve"> frequently under-utilized and seen as </w:t>
      </w:r>
      <w:r>
        <w:rPr>
          <w:rFonts w:asciiTheme="minorHAnsi" w:hAnsiTheme="minorHAnsi" w:cstheme="minorHAnsi"/>
          <w:color w:val="000000"/>
        </w:rPr>
        <w:t>punitive. The “Pass” decision was</w:t>
      </w:r>
      <w:r w:rsidR="00B831BA" w:rsidRPr="00B831BA">
        <w:rPr>
          <w:rFonts w:asciiTheme="minorHAnsi" w:hAnsiTheme="minorHAnsi" w:cstheme="minorHAnsi"/>
          <w:color w:val="000000"/>
        </w:rPr>
        <w:t xml:space="preserve"> inappropriately used in </w:t>
      </w:r>
      <w:r w:rsidR="008E068F">
        <w:rPr>
          <w:rFonts w:asciiTheme="minorHAnsi" w:hAnsiTheme="minorHAnsi" w:cstheme="minorHAnsi"/>
          <w:color w:val="000000"/>
        </w:rPr>
        <w:t xml:space="preserve">many </w:t>
      </w:r>
      <w:r w:rsidR="00B831BA" w:rsidRPr="00B831BA">
        <w:rPr>
          <w:rFonts w:asciiTheme="minorHAnsi" w:hAnsiTheme="minorHAnsi" w:cstheme="minorHAnsi"/>
          <w:color w:val="000000"/>
        </w:rPr>
        <w:t>cases where st</w:t>
      </w:r>
      <w:r>
        <w:rPr>
          <w:rFonts w:asciiTheme="minorHAnsi" w:hAnsiTheme="minorHAnsi" w:cstheme="minorHAnsi"/>
          <w:color w:val="000000"/>
        </w:rPr>
        <w:t>udents had</w:t>
      </w:r>
      <w:r w:rsidR="00B831BA" w:rsidRPr="00B831BA">
        <w:rPr>
          <w:rFonts w:asciiTheme="minorHAnsi" w:hAnsiTheme="minorHAnsi" w:cstheme="minorHAnsi"/>
          <w:color w:val="000000"/>
        </w:rPr>
        <w:t xml:space="preserve"> major revisions that would more likely resemble a “Re-Ex</w:t>
      </w:r>
      <w:r>
        <w:rPr>
          <w:rFonts w:asciiTheme="minorHAnsi" w:hAnsiTheme="minorHAnsi" w:cstheme="minorHAnsi"/>
          <w:color w:val="000000"/>
        </w:rPr>
        <w:t xml:space="preserve">am”, but the committee did not </w:t>
      </w:r>
      <w:r w:rsidR="00B831BA" w:rsidRPr="00B831BA">
        <w:rPr>
          <w:rFonts w:asciiTheme="minorHAnsi" w:hAnsiTheme="minorHAnsi" w:cstheme="minorHAnsi"/>
          <w:color w:val="000000"/>
        </w:rPr>
        <w:t>wish for them to defend again. These situations made it seem that a new decision category, as well as accompanyi</w:t>
      </w:r>
      <w:r>
        <w:rPr>
          <w:rFonts w:asciiTheme="minorHAnsi" w:hAnsiTheme="minorHAnsi" w:cstheme="minorHAnsi"/>
          <w:color w:val="000000"/>
        </w:rPr>
        <w:t>ng definitions and guidance, would</w:t>
      </w:r>
      <w:r w:rsidR="00B831BA" w:rsidRPr="00B831BA">
        <w:rPr>
          <w:rFonts w:asciiTheme="minorHAnsi" w:hAnsiTheme="minorHAnsi" w:cstheme="minorHAnsi"/>
          <w:color w:val="000000"/>
        </w:rPr>
        <w:t xml:space="preserve"> be helpful. The decision to make the defense decisions less complicated (i.e., by reducing the decisions to “Pass” or “Fail”) did not seem to adequately address the nuances of decision-making during a defense and would not address the feelings held by some committee members about the punitive nature of “Fail”.</w:t>
      </w:r>
      <w:r>
        <w:rPr>
          <w:rFonts w:asciiTheme="minorHAnsi" w:hAnsiTheme="minorHAnsi" w:cstheme="minorHAnsi"/>
          <w:color w:val="000000"/>
        </w:rPr>
        <w:t xml:space="preserve"> </w:t>
      </w:r>
    </w:p>
    <w:p w14:paraId="6421EA46" w14:textId="77777777" w:rsidR="00E164D7" w:rsidRDefault="00E164D7" w:rsidP="002E706D">
      <w:pPr>
        <w:pStyle w:val="NormalWeb"/>
        <w:rPr>
          <w:rFonts w:asciiTheme="minorHAnsi" w:hAnsiTheme="minorHAnsi" w:cstheme="minorHAnsi"/>
          <w:color w:val="000000"/>
        </w:rPr>
      </w:pPr>
    </w:p>
    <w:p w14:paraId="42C50F8C" w14:textId="584141DF" w:rsidR="00946DF3" w:rsidRDefault="00E164D7" w:rsidP="002E706D">
      <w:pPr>
        <w:pStyle w:val="NormalWeb"/>
        <w:rPr>
          <w:rFonts w:asciiTheme="minorHAnsi" w:hAnsiTheme="minorHAnsi" w:cstheme="minorHAnsi"/>
          <w:color w:val="000000"/>
        </w:rPr>
      </w:pPr>
      <w:r>
        <w:rPr>
          <w:rFonts w:asciiTheme="minorHAnsi" w:hAnsiTheme="minorHAnsi" w:cstheme="minorHAnsi"/>
          <w:color w:val="000000"/>
        </w:rPr>
        <w:t>Keep in mind, t</w:t>
      </w:r>
      <w:r w:rsidR="00B831BA" w:rsidRPr="00B831BA">
        <w:rPr>
          <w:rFonts w:asciiTheme="minorHAnsi" w:hAnsiTheme="minorHAnsi" w:cstheme="minorHAnsi"/>
          <w:color w:val="000000"/>
        </w:rPr>
        <w:t xml:space="preserve">hese decisions are only present in the Manuscript Clearance Portal where defense forms have been completed by all programs since </w:t>
      </w:r>
      <w:proofErr w:type="gramStart"/>
      <w:r w:rsidR="00B831BA" w:rsidRPr="00B831BA">
        <w:rPr>
          <w:rFonts w:asciiTheme="minorHAnsi" w:hAnsiTheme="minorHAnsi" w:cstheme="minorHAnsi"/>
          <w:color w:val="000000"/>
        </w:rPr>
        <w:t>Summer</w:t>
      </w:r>
      <w:proofErr w:type="gramEnd"/>
      <w:r w:rsidR="00B831BA" w:rsidRPr="00B831BA">
        <w:rPr>
          <w:rFonts w:asciiTheme="minorHAnsi" w:hAnsiTheme="minorHAnsi" w:cstheme="minorHAnsi"/>
          <w:color w:val="000000"/>
        </w:rPr>
        <w:t xml:space="preserve"> 2019. Transcripts will still reflect “Pass”, “Fai</w:t>
      </w:r>
      <w:r>
        <w:rPr>
          <w:rFonts w:asciiTheme="minorHAnsi" w:hAnsiTheme="minorHAnsi" w:cstheme="minorHAnsi"/>
          <w:color w:val="000000"/>
        </w:rPr>
        <w:t xml:space="preserve">l,” or “Incomplete,” as appropriate. </w:t>
      </w:r>
    </w:p>
    <w:p w14:paraId="0D35B6FC" w14:textId="77777777" w:rsidR="00B831BA" w:rsidRDefault="00B831BA" w:rsidP="002E706D">
      <w:pPr>
        <w:pStyle w:val="NormalWeb"/>
        <w:rPr>
          <w:rFonts w:asciiTheme="minorHAnsi" w:hAnsiTheme="minorHAnsi" w:cstheme="minorHAnsi"/>
          <w:color w:val="000000"/>
        </w:rPr>
      </w:pPr>
    </w:p>
    <w:p w14:paraId="162F4C42" w14:textId="4BCF781B" w:rsidR="00946DF3" w:rsidRPr="00BA3962" w:rsidRDefault="00E164D7" w:rsidP="00946DF3">
      <w:pPr>
        <w:pStyle w:val="NormalWeb"/>
        <w:numPr>
          <w:ilvl w:val="0"/>
          <w:numId w:val="1"/>
        </w:numPr>
        <w:rPr>
          <w:rFonts w:asciiTheme="minorHAnsi" w:hAnsiTheme="minorHAnsi" w:cstheme="minorHAnsi"/>
          <w:b/>
          <w:color w:val="000000"/>
          <w:sz w:val="24"/>
          <w:szCs w:val="24"/>
        </w:rPr>
      </w:pPr>
      <w:r w:rsidRPr="00BA3962">
        <w:rPr>
          <w:rFonts w:asciiTheme="minorHAnsi" w:eastAsia="Times New Roman" w:hAnsiTheme="minorHAnsi" w:cstheme="minorHAnsi"/>
          <w:b/>
          <w:color w:val="000000"/>
          <w:sz w:val="24"/>
          <w:szCs w:val="24"/>
          <w:u w:val="single"/>
        </w:rPr>
        <w:t>Update to University-Wide Graduate TA Standards:</w:t>
      </w:r>
    </w:p>
    <w:p w14:paraId="2F8D3ADF" w14:textId="0959EBA6" w:rsidR="00946DF3" w:rsidRPr="00BA3962" w:rsidRDefault="00946DF3" w:rsidP="00946DF3">
      <w:pPr>
        <w:spacing w:before="100" w:beforeAutospacing="1" w:after="200"/>
        <w:rPr>
          <w:rFonts w:asciiTheme="minorHAnsi" w:eastAsia="Times New Roman" w:hAnsiTheme="minorHAnsi" w:cstheme="minorHAnsi"/>
          <w:color w:val="000000"/>
          <w:sz w:val="22"/>
          <w:szCs w:val="22"/>
        </w:rPr>
      </w:pPr>
      <w:r w:rsidRPr="00BA3962">
        <w:rPr>
          <w:rFonts w:asciiTheme="minorHAnsi" w:hAnsiTheme="minorHAnsi" w:cstheme="minorHAnsi"/>
          <w:bCs/>
          <w:color w:val="000000"/>
          <w:sz w:val="22"/>
          <w:szCs w:val="22"/>
        </w:rPr>
        <w:t>(</w:t>
      </w:r>
      <w:r w:rsidR="00BA3962" w:rsidRPr="00BA3962">
        <w:rPr>
          <w:rFonts w:asciiTheme="minorHAnsi" w:hAnsiTheme="minorHAnsi" w:cstheme="minorHAnsi"/>
          <w:bCs/>
          <w:color w:val="000000"/>
          <w:sz w:val="22"/>
          <w:szCs w:val="22"/>
        </w:rPr>
        <w:t xml:space="preserve">See attached for the full policy. </w:t>
      </w:r>
      <w:r w:rsidRPr="00BA3962">
        <w:rPr>
          <w:rFonts w:asciiTheme="minorHAnsi" w:hAnsiTheme="minorHAnsi" w:cstheme="minorHAnsi"/>
          <w:bCs/>
          <w:color w:val="000000"/>
          <w:sz w:val="22"/>
          <w:szCs w:val="22"/>
        </w:rPr>
        <w:t xml:space="preserve">Approved by the GPC on </w:t>
      </w:r>
      <w:r w:rsidR="00BA3962" w:rsidRPr="00BA3962">
        <w:rPr>
          <w:rFonts w:asciiTheme="minorHAnsi" w:hAnsiTheme="minorHAnsi" w:cstheme="minorHAnsi"/>
          <w:bCs/>
          <w:color w:val="000000"/>
          <w:sz w:val="22"/>
          <w:szCs w:val="22"/>
        </w:rPr>
        <w:t>3/1/21</w:t>
      </w:r>
      <w:r w:rsidRPr="00BA3962">
        <w:rPr>
          <w:rFonts w:asciiTheme="minorHAnsi" w:hAnsiTheme="minorHAnsi" w:cstheme="minorHAnsi"/>
          <w:bCs/>
          <w:color w:val="000000"/>
          <w:sz w:val="22"/>
          <w:szCs w:val="22"/>
        </w:rPr>
        <w:t xml:space="preserve"> and Faculty Senate on </w:t>
      </w:r>
      <w:r w:rsidR="00BA3962" w:rsidRPr="00BA3962">
        <w:rPr>
          <w:rFonts w:asciiTheme="minorHAnsi" w:hAnsiTheme="minorHAnsi" w:cstheme="minorHAnsi"/>
          <w:bCs/>
          <w:color w:val="000000"/>
          <w:sz w:val="22"/>
          <w:szCs w:val="22"/>
        </w:rPr>
        <w:t>3/24/21</w:t>
      </w:r>
      <w:r w:rsidRPr="00BA3962">
        <w:rPr>
          <w:rFonts w:asciiTheme="minorHAnsi" w:hAnsiTheme="minorHAnsi" w:cstheme="minorHAnsi"/>
          <w:bCs/>
          <w:color w:val="000000"/>
          <w:sz w:val="22"/>
          <w:szCs w:val="22"/>
        </w:rPr>
        <w:t xml:space="preserve">). </w:t>
      </w:r>
    </w:p>
    <w:p w14:paraId="13FAC39E" w14:textId="5B8D84FD" w:rsidR="00946DF3" w:rsidRDefault="00BA3962" w:rsidP="002E706D">
      <w:pPr>
        <w:pStyle w:val="NormalWeb"/>
        <w:rPr>
          <w:rFonts w:asciiTheme="minorHAnsi" w:hAnsiTheme="minorHAnsi" w:cstheme="minorHAnsi"/>
          <w:color w:val="000000"/>
        </w:rPr>
      </w:pPr>
      <w:r>
        <w:rPr>
          <w:rFonts w:asciiTheme="minorHAnsi" w:hAnsiTheme="minorHAnsi" w:cstheme="minorHAnsi"/>
          <w:color w:val="000000"/>
        </w:rPr>
        <w:t xml:space="preserve">During the Summer, the Graduate Student Tracking System (GST) will be updated to reflect the changes to the TA standards. Guidance will be provided as we move forward for a </w:t>
      </w:r>
      <w:proofErr w:type="gramStart"/>
      <w:r>
        <w:rPr>
          <w:rFonts w:asciiTheme="minorHAnsi" w:hAnsiTheme="minorHAnsi" w:cstheme="minorHAnsi"/>
          <w:color w:val="000000"/>
        </w:rPr>
        <w:t>Fall</w:t>
      </w:r>
      <w:proofErr w:type="gramEnd"/>
      <w:r>
        <w:rPr>
          <w:rFonts w:asciiTheme="minorHAnsi" w:hAnsiTheme="minorHAnsi" w:cstheme="minorHAnsi"/>
          <w:color w:val="000000"/>
        </w:rPr>
        <w:t xml:space="preserve"> 2021 implementation. </w:t>
      </w:r>
    </w:p>
    <w:p w14:paraId="5F33C8AE" w14:textId="60A6B531" w:rsidR="00F254F4" w:rsidRDefault="00F254F4" w:rsidP="002E706D">
      <w:pPr>
        <w:pStyle w:val="NormalWeb"/>
        <w:rPr>
          <w:rFonts w:asciiTheme="minorHAnsi" w:hAnsiTheme="minorHAnsi" w:cstheme="minorHAnsi"/>
          <w:color w:val="000000"/>
        </w:rPr>
      </w:pPr>
    </w:p>
    <w:p w14:paraId="76820DE9" w14:textId="67C51570" w:rsidR="00F254F4" w:rsidRPr="00F254F4" w:rsidRDefault="00F254F4" w:rsidP="002E706D">
      <w:pPr>
        <w:pStyle w:val="NormalWeb"/>
        <w:rPr>
          <w:rFonts w:asciiTheme="minorHAnsi" w:hAnsiTheme="minorHAnsi" w:cstheme="minorHAnsi"/>
          <w:color w:val="000000"/>
          <w:u w:val="single"/>
        </w:rPr>
      </w:pPr>
      <w:r>
        <w:rPr>
          <w:rFonts w:asciiTheme="minorHAnsi" w:hAnsiTheme="minorHAnsi" w:cstheme="minorHAnsi"/>
          <w:color w:val="000000"/>
          <w:u w:val="single"/>
        </w:rPr>
        <w:t>Summary of Main Changes to the TA Standards:</w:t>
      </w:r>
    </w:p>
    <w:p w14:paraId="28B5EBC3" w14:textId="66225043" w:rsidR="00F254F4" w:rsidRDefault="00F254F4" w:rsidP="002E706D">
      <w:pPr>
        <w:pStyle w:val="NormalWeb"/>
        <w:rPr>
          <w:rFonts w:asciiTheme="minorHAnsi" w:hAnsiTheme="minorHAnsi" w:cstheme="minorHAnsi"/>
          <w:color w:val="000000"/>
        </w:rPr>
      </w:pPr>
    </w:p>
    <w:p w14:paraId="3E426F16"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Changed the TA “levels” classification to “categories” to avoid confusion with levels of courses and prevent ordinal interpretation that no longer applies with the newly created Category 5. </w:t>
      </w:r>
    </w:p>
    <w:p w14:paraId="0318D2D4"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Created a new Category 5 classification and suggested an existing but non-active job code specifically for assigning graduate TAs to graduate courses or co-listed undergraduate/graduate courses. </w:t>
      </w:r>
    </w:p>
    <w:p w14:paraId="225BF8E8" w14:textId="112DF350"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Described </w:t>
      </w:r>
      <w:r>
        <w:rPr>
          <w:rFonts w:asciiTheme="minorHAnsi" w:hAnsiTheme="minorHAnsi" w:cstheme="minorHAnsi"/>
          <w:color w:val="000000"/>
        </w:rPr>
        <w:t xml:space="preserve">specific </w:t>
      </w:r>
      <w:r w:rsidRPr="00F254F4">
        <w:rPr>
          <w:rFonts w:asciiTheme="minorHAnsi" w:hAnsiTheme="minorHAnsi" w:cstheme="minorHAnsi"/>
          <w:color w:val="000000"/>
        </w:rPr>
        <w:t xml:space="preserve">duties and training requirements for Category 5 appointments. </w:t>
      </w:r>
    </w:p>
    <w:p w14:paraId="0C40727E" w14:textId="30183FC8"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Amended Category 2 to include language addressing the use of graduate TAs in co-listed undergraduate/graduate courses</w:t>
      </w:r>
      <w:r>
        <w:rPr>
          <w:rFonts w:asciiTheme="minorHAnsi" w:hAnsiTheme="minorHAnsi" w:cstheme="minorHAnsi"/>
          <w:color w:val="000000"/>
        </w:rPr>
        <w:t xml:space="preserve"> and provided examples of appropriate tasks. </w:t>
      </w:r>
    </w:p>
    <w:p w14:paraId="18626727"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Included </w:t>
      </w:r>
      <w:r>
        <w:rPr>
          <w:rFonts w:asciiTheme="minorHAnsi" w:hAnsiTheme="minorHAnsi" w:cstheme="minorHAnsi"/>
          <w:color w:val="000000"/>
        </w:rPr>
        <w:t xml:space="preserve">explicit language </w:t>
      </w:r>
      <w:r w:rsidRPr="00F254F4">
        <w:rPr>
          <w:rFonts w:asciiTheme="minorHAnsi" w:hAnsiTheme="minorHAnsi" w:cstheme="minorHAnsi"/>
          <w:color w:val="000000"/>
        </w:rPr>
        <w:t>that having full responsibilities for a class is synonymous with being the instructor of record f</w:t>
      </w:r>
      <w:r>
        <w:rPr>
          <w:rFonts w:asciiTheme="minorHAnsi" w:hAnsiTheme="minorHAnsi" w:cstheme="minorHAnsi"/>
          <w:color w:val="000000"/>
        </w:rPr>
        <w:t>or the purposes of this policy.</w:t>
      </w:r>
      <w:r w:rsidRPr="00F254F4">
        <w:rPr>
          <w:rFonts w:asciiTheme="minorHAnsi" w:hAnsiTheme="minorHAnsi" w:cstheme="minorHAnsi"/>
          <w:color w:val="000000"/>
        </w:rPr>
        <w:t xml:space="preserve"> </w:t>
      </w:r>
    </w:p>
    <w:p w14:paraId="65F3960B"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Added language explicitly stating that the university’s Conflict of Interest policy applies to all </w:t>
      </w:r>
      <w:proofErr w:type="gramStart"/>
      <w:r w:rsidRPr="00F254F4">
        <w:rPr>
          <w:rFonts w:asciiTheme="minorHAnsi" w:hAnsiTheme="minorHAnsi" w:cstheme="minorHAnsi"/>
          <w:color w:val="000000"/>
        </w:rPr>
        <w:t>TAs.</w:t>
      </w:r>
      <w:proofErr w:type="gramEnd"/>
      <w:r w:rsidRPr="00F254F4">
        <w:rPr>
          <w:rFonts w:asciiTheme="minorHAnsi" w:hAnsiTheme="minorHAnsi" w:cstheme="minorHAnsi"/>
          <w:color w:val="000000"/>
        </w:rPr>
        <w:t xml:space="preserve"> </w:t>
      </w:r>
    </w:p>
    <w:p w14:paraId="0C3732D2"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Made some adjustments to the examples given for Category 1 and 2 duties. </w:t>
      </w:r>
    </w:p>
    <w:p w14:paraId="6D8DD76B" w14:textId="77777777" w:rsid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Made editorial changes (e.g., changing “Canvas” to “course management system”; adjusting grammatical prepositions resulting from changing “level” to “category”). </w:t>
      </w:r>
    </w:p>
    <w:p w14:paraId="48151215" w14:textId="524CF633" w:rsidR="00F254F4" w:rsidRPr="00F254F4" w:rsidRDefault="00F254F4" w:rsidP="00F254F4">
      <w:pPr>
        <w:pStyle w:val="NormalWeb"/>
        <w:numPr>
          <w:ilvl w:val="0"/>
          <w:numId w:val="34"/>
        </w:numPr>
        <w:rPr>
          <w:rFonts w:asciiTheme="minorHAnsi" w:hAnsiTheme="minorHAnsi" w:cstheme="minorHAnsi"/>
          <w:color w:val="000000"/>
        </w:rPr>
      </w:pPr>
      <w:r w:rsidRPr="00F254F4">
        <w:rPr>
          <w:rFonts w:asciiTheme="minorHAnsi" w:hAnsiTheme="minorHAnsi" w:cstheme="minorHAnsi"/>
          <w:color w:val="000000"/>
        </w:rPr>
        <w:t xml:space="preserve">Updated the course code for the EAP course. </w:t>
      </w:r>
    </w:p>
    <w:p w14:paraId="23996E78" w14:textId="0ED45596" w:rsidR="004839BD" w:rsidRDefault="004839BD" w:rsidP="002E706D">
      <w:pPr>
        <w:pStyle w:val="NormalWeb"/>
        <w:rPr>
          <w:rFonts w:asciiTheme="minorHAnsi" w:hAnsiTheme="minorHAnsi" w:cstheme="minorHAnsi"/>
          <w:color w:val="000000"/>
        </w:rPr>
      </w:pPr>
    </w:p>
    <w:p w14:paraId="6360BFBE" w14:textId="59ADCBEE" w:rsidR="004839BD" w:rsidRPr="00BA3962" w:rsidRDefault="004839BD" w:rsidP="00E82525">
      <w:pPr>
        <w:pStyle w:val="NormalWeb"/>
        <w:numPr>
          <w:ilvl w:val="0"/>
          <w:numId w:val="1"/>
        </w:numPr>
        <w:rPr>
          <w:rFonts w:asciiTheme="minorHAnsi" w:hAnsiTheme="minorHAnsi" w:cstheme="minorHAnsi"/>
          <w:b/>
          <w:color w:val="000000"/>
          <w:sz w:val="24"/>
          <w:szCs w:val="24"/>
        </w:rPr>
      </w:pPr>
      <w:r w:rsidRPr="00BA3962">
        <w:rPr>
          <w:rFonts w:asciiTheme="minorHAnsi" w:eastAsia="Times New Roman" w:hAnsiTheme="minorHAnsi" w:cstheme="minorHAnsi"/>
          <w:b/>
          <w:color w:val="000000"/>
          <w:sz w:val="24"/>
          <w:szCs w:val="24"/>
          <w:u w:val="single"/>
        </w:rPr>
        <w:t>Graduate Bulletin Edits:</w:t>
      </w:r>
    </w:p>
    <w:p w14:paraId="490245DC" w14:textId="77777777" w:rsidR="004839BD" w:rsidRDefault="004839BD" w:rsidP="004839BD">
      <w:pPr>
        <w:pStyle w:val="NormalWeb"/>
        <w:rPr>
          <w:rFonts w:asciiTheme="minorHAnsi" w:hAnsiTheme="minorHAnsi" w:cstheme="minorHAnsi"/>
          <w:color w:val="000000"/>
        </w:rPr>
      </w:pPr>
    </w:p>
    <w:p w14:paraId="10C551D5" w14:textId="34174BDB" w:rsidR="007C4AC8" w:rsidRDefault="007C4AC8" w:rsidP="004839BD">
      <w:pPr>
        <w:pStyle w:val="NormalWeb"/>
        <w:rPr>
          <w:rFonts w:asciiTheme="minorHAnsi" w:hAnsiTheme="minorHAnsi" w:cstheme="minorHAnsi"/>
          <w:color w:val="000000"/>
        </w:rPr>
      </w:pPr>
      <w:r w:rsidRPr="007C4AC8">
        <w:rPr>
          <w:rFonts w:asciiTheme="minorHAnsi" w:hAnsiTheme="minorHAnsi" w:cstheme="minorHAnsi"/>
          <w:color w:val="000000"/>
        </w:rPr>
        <w:t>Sections of the Graduat</w:t>
      </w:r>
      <w:r>
        <w:rPr>
          <w:rFonts w:asciiTheme="minorHAnsi" w:hAnsiTheme="minorHAnsi" w:cstheme="minorHAnsi"/>
          <w:color w:val="000000"/>
        </w:rPr>
        <w:t xml:space="preserve">e Bulletin </w:t>
      </w:r>
      <w:r w:rsidR="007422B8">
        <w:rPr>
          <w:rFonts w:asciiTheme="minorHAnsi" w:hAnsiTheme="minorHAnsi" w:cstheme="minorHAnsi"/>
          <w:color w:val="000000"/>
        </w:rPr>
        <w:t xml:space="preserve">have been </w:t>
      </w:r>
      <w:r w:rsidR="00CD41F1">
        <w:rPr>
          <w:rFonts w:asciiTheme="minorHAnsi" w:hAnsiTheme="minorHAnsi" w:cstheme="minorHAnsi"/>
          <w:color w:val="000000"/>
        </w:rPr>
        <w:t xml:space="preserve">slightly </w:t>
      </w:r>
      <w:r w:rsidR="007422B8">
        <w:rPr>
          <w:rFonts w:asciiTheme="minorHAnsi" w:hAnsiTheme="minorHAnsi" w:cstheme="minorHAnsi"/>
          <w:color w:val="000000"/>
        </w:rPr>
        <w:t>amended</w:t>
      </w:r>
      <w:r w:rsidR="00CD41F1">
        <w:rPr>
          <w:rFonts w:asciiTheme="minorHAnsi" w:hAnsiTheme="minorHAnsi" w:cstheme="minorHAnsi"/>
          <w:color w:val="000000"/>
        </w:rPr>
        <w:t xml:space="preserve">. </w:t>
      </w:r>
      <w:r w:rsidRPr="007C4AC8">
        <w:rPr>
          <w:rFonts w:asciiTheme="minorHAnsi" w:hAnsiTheme="minorHAnsi" w:cstheme="minorHAnsi"/>
          <w:color w:val="000000"/>
        </w:rPr>
        <w:t xml:space="preserve">The following items do not represent substantive policy changes, but editing was done to improve the clarity of the message. </w:t>
      </w:r>
    </w:p>
    <w:p w14:paraId="62F7C68E" w14:textId="77777777" w:rsidR="007C4AC8" w:rsidRDefault="007C4AC8" w:rsidP="004839BD">
      <w:pPr>
        <w:pStyle w:val="NormalWeb"/>
        <w:rPr>
          <w:rFonts w:asciiTheme="minorHAnsi" w:hAnsiTheme="minorHAnsi" w:cstheme="minorHAnsi"/>
          <w:color w:val="000000"/>
        </w:rPr>
      </w:pPr>
    </w:p>
    <w:p w14:paraId="5BA700C8" w14:textId="22B6C380" w:rsidR="0042199A" w:rsidRDefault="0042199A" w:rsidP="0042199A">
      <w:pPr>
        <w:pStyle w:val="NormalWeb"/>
        <w:numPr>
          <w:ilvl w:val="0"/>
          <w:numId w:val="26"/>
        </w:numPr>
        <w:rPr>
          <w:rFonts w:asciiTheme="minorHAnsi" w:hAnsiTheme="minorHAnsi" w:cstheme="minorHAnsi"/>
          <w:color w:val="000000"/>
        </w:rPr>
      </w:pPr>
      <w:r>
        <w:rPr>
          <w:rFonts w:asciiTheme="minorHAnsi" w:hAnsiTheme="minorHAnsi" w:cstheme="minorHAnsi"/>
          <w:b/>
          <w:color w:val="000000"/>
          <w:u w:val="single"/>
        </w:rPr>
        <w:t>Graduate Admissions</w:t>
      </w:r>
      <w:r>
        <w:rPr>
          <w:rFonts w:asciiTheme="minorHAnsi" w:hAnsiTheme="minorHAnsi" w:cstheme="minorHAnsi"/>
          <w:color w:val="000000"/>
        </w:rPr>
        <w:t xml:space="preserve">- </w:t>
      </w:r>
    </w:p>
    <w:p w14:paraId="75617E3F" w14:textId="5D5646F2" w:rsidR="0042199A" w:rsidRDefault="0042199A" w:rsidP="0042199A">
      <w:pPr>
        <w:pStyle w:val="NormalWeb"/>
        <w:numPr>
          <w:ilvl w:val="0"/>
          <w:numId w:val="33"/>
        </w:numPr>
        <w:rPr>
          <w:rFonts w:asciiTheme="minorHAnsi" w:hAnsiTheme="minorHAnsi" w:cstheme="minorHAnsi"/>
          <w:color w:val="000000"/>
        </w:rPr>
      </w:pPr>
      <w:r w:rsidRPr="0042199A">
        <w:rPr>
          <w:rFonts w:asciiTheme="minorHAnsi" w:hAnsiTheme="minorHAnsi" w:cstheme="minorHAnsi"/>
          <w:color w:val="000000"/>
          <w:u w:val="single"/>
        </w:rPr>
        <w:t>Admission/Readmission Appeal Procedure Section</w:t>
      </w:r>
      <w:r>
        <w:rPr>
          <w:rFonts w:asciiTheme="minorHAnsi" w:hAnsiTheme="minorHAnsi" w:cstheme="minorHAnsi"/>
          <w:color w:val="000000"/>
        </w:rPr>
        <w:t xml:space="preserve">- Revised the timing in which The Graduate School needs to notify the applicant of the committee appeal decision from seven to fifteen business days. </w:t>
      </w:r>
    </w:p>
    <w:p w14:paraId="51EC88FB" w14:textId="77777777" w:rsidR="0042199A" w:rsidRDefault="0042199A" w:rsidP="0042199A">
      <w:pPr>
        <w:pStyle w:val="NormalWeb"/>
        <w:ind w:left="1440"/>
        <w:rPr>
          <w:rFonts w:asciiTheme="minorHAnsi" w:hAnsiTheme="minorHAnsi" w:cstheme="minorHAnsi"/>
          <w:color w:val="000000"/>
        </w:rPr>
      </w:pPr>
    </w:p>
    <w:p w14:paraId="05D7B080" w14:textId="69C52B3A" w:rsidR="00031EBC" w:rsidRDefault="0017509A" w:rsidP="0017509A">
      <w:pPr>
        <w:pStyle w:val="NormalWeb"/>
        <w:numPr>
          <w:ilvl w:val="0"/>
          <w:numId w:val="26"/>
        </w:numPr>
        <w:rPr>
          <w:rFonts w:asciiTheme="minorHAnsi" w:hAnsiTheme="minorHAnsi" w:cstheme="minorHAnsi"/>
          <w:color w:val="000000"/>
        </w:rPr>
      </w:pPr>
      <w:r w:rsidRPr="0017509A">
        <w:rPr>
          <w:rFonts w:asciiTheme="minorHAnsi" w:hAnsiTheme="minorHAnsi" w:cstheme="minorHAnsi"/>
          <w:b/>
          <w:color w:val="000000"/>
          <w:u w:val="single"/>
        </w:rPr>
        <w:t>Graduate Academic Regulations and Procedures</w:t>
      </w:r>
      <w:r w:rsidR="00031EBC">
        <w:rPr>
          <w:rFonts w:asciiTheme="minorHAnsi" w:hAnsiTheme="minorHAnsi" w:cstheme="minorHAnsi"/>
          <w:color w:val="000000"/>
        </w:rPr>
        <w:t xml:space="preserve">- </w:t>
      </w:r>
    </w:p>
    <w:p w14:paraId="3B8AA762" w14:textId="7F3CDD23" w:rsidR="00CD41F1" w:rsidRDefault="00CD41F1" w:rsidP="00CD41F1">
      <w:pPr>
        <w:pStyle w:val="NormalWeb"/>
        <w:numPr>
          <w:ilvl w:val="0"/>
          <w:numId w:val="29"/>
        </w:numPr>
        <w:rPr>
          <w:rFonts w:asciiTheme="minorHAnsi" w:hAnsiTheme="minorHAnsi" w:cstheme="minorHAnsi"/>
          <w:color w:val="000000"/>
        </w:rPr>
      </w:pPr>
      <w:r w:rsidRPr="00CD41F1">
        <w:rPr>
          <w:rFonts w:asciiTheme="minorHAnsi" w:hAnsiTheme="minorHAnsi" w:cstheme="minorHAnsi"/>
          <w:color w:val="000000"/>
          <w:u w:val="single"/>
        </w:rPr>
        <w:t xml:space="preserve">Student Course Load </w:t>
      </w:r>
      <w:r>
        <w:rPr>
          <w:rFonts w:asciiTheme="minorHAnsi" w:hAnsiTheme="minorHAnsi" w:cstheme="minorHAnsi"/>
          <w:color w:val="000000"/>
          <w:u w:val="single"/>
        </w:rPr>
        <w:t xml:space="preserve">Section and Thesis/Dissertation </w:t>
      </w:r>
      <w:r w:rsidRPr="00CD41F1">
        <w:rPr>
          <w:rFonts w:asciiTheme="minorHAnsi" w:hAnsiTheme="minorHAnsi" w:cstheme="minorHAnsi"/>
          <w:color w:val="000000"/>
          <w:u w:val="single"/>
        </w:rPr>
        <w:t>Section</w:t>
      </w:r>
      <w:r>
        <w:rPr>
          <w:rFonts w:asciiTheme="minorHAnsi" w:hAnsiTheme="minorHAnsi" w:cstheme="minorHAnsi"/>
          <w:color w:val="000000"/>
        </w:rPr>
        <w:t xml:space="preserve">- Deleted the following sentences: </w:t>
      </w:r>
    </w:p>
    <w:p w14:paraId="5CFC7D0D" w14:textId="77777777" w:rsidR="0042199A" w:rsidRDefault="0042199A" w:rsidP="0042199A">
      <w:pPr>
        <w:pStyle w:val="NormalWeb"/>
        <w:ind w:left="1440"/>
        <w:rPr>
          <w:rFonts w:asciiTheme="minorHAnsi" w:hAnsiTheme="minorHAnsi" w:cstheme="minorHAnsi"/>
          <w:color w:val="000000"/>
        </w:rPr>
      </w:pPr>
    </w:p>
    <w:p w14:paraId="687489CA" w14:textId="59D6E92A" w:rsidR="00CD41F1" w:rsidRDefault="00CD41F1" w:rsidP="00CD41F1">
      <w:pPr>
        <w:pStyle w:val="NormalWeb"/>
        <w:numPr>
          <w:ilvl w:val="0"/>
          <w:numId w:val="31"/>
        </w:numPr>
        <w:rPr>
          <w:rFonts w:asciiTheme="minorHAnsi" w:hAnsiTheme="minorHAnsi" w:cstheme="minorHAnsi"/>
          <w:color w:val="000000"/>
        </w:rPr>
      </w:pPr>
      <w:r w:rsidRPr="00CD41F1">
        <w:rPr>
          <w:rFonts w:asciiTheme="minorHAnsi" w:hAnsiTheme="minorHAnsi" w:cstheme="minorHAnsi"/>
          <w:color w:val="000000"/>
          <w:u w:val="single"/>
        </w:rPr>
        <w:t>Doctoral:</w:t>
      </w:r>
      <w:r w:rsidRPr="00CD41F1">
        <w:rPr>
          <w:rFonts w:asciiTheme="minorHAnsi" w:hAnsiTheme="minorHAnsi" w:cstheme="minorHAnsi"/>
          <w:color w:val="000000"/>
        </w:rPr>
        <w:t xml:space="preserve"> After completion of the prelim exam and 24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of dissertation, full-time status requires that a doctoral student must be enrolled in a minimum of 3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per semester (of which at least 2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must be dissertation) until completion of the degree. </w:t>
      </w:r>
    </w:p>
    <w:p w14:paraId="24BBE7D8" w14:textId="77777777" w:rsidR="00CD41F1" w:rsidRDefault="00CD41F1" w:rsidP="00CD41F1">
      <w:pPr>
        <w:pStyle w:val="NormalWeb"/>
        <w:ind w:left="2160"/>
        <w:rPr>
          <w:rFonts w:asciiTheme="minorHAnsi" w:hAnsiTheme="minorHAnsi" w:cstheme="minorHAnsi"/>
          <w:color w:val="000000"/>
        </w:rPr>
      </w:pPr>
    </w:p>
    <w:p w14:paraId="785FE27A" w14:textId="6B34ECFD" w:rsidR="00CD41F1" w:rsidRPr="00CD41F1" w:rsidRDefault="00CD41F1" w:rsidP="00CD41F1">
      <w:pPr>
        <w:pStyle w:val="NormalWeb"/>
        <w:numPr>
          <w:ilvl w:val="0"/>
          <w:numId w:val="31"/>
        </w:numPr>
        <w:rPr>
          <w:rFonts w:asciiTheme="minorHAnsi" w:hAnsiTheme="minorHAnsi" w:cstheme="minorHAnsi"/>
          <w:color w:val="000000"/>
        </w:rPr>
      </w:pPr>
      <w:r w:rsidRPr="00CD41F1">
        <w:rPr>
          <w:rFonts w:asciiTheme="minorHAnsi" w:hAnsiTheme="minorHAnsi" w:cstheme="minorHAnsi"/>
          <w:color w:val="000000"/>
          <w:u w:val="single"/>
        </w:rPr>
        <w:t>Thesis:</w:t>
      </w:r>
      <w:r w:rsidRPr="00CD41F1">
        <w:rPr>
          <w:rFonts w:asciiTheme="minorHAnsi" w:hAnsiTheme="minorHAnsi" w:cstheme="minorHAnsi"/>
          <w:color w:val="000000"/>
        </w:rPr>
        <w:t xml:space="preserve"> After completion of the required coursework and 6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of thesis (if enrolled in a thesis-track master’s program) full time status requires that the master’s student must enroll in for a minimum of 3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per semester (of which at least 2 </w:t>
      </w:r>
      <w:proofErr w:type="spellStart"/>
      <w:r w:rsidRPr="00CD41F1">
        <w:rPr>
          <w:rFonts w:asciiTheme="minorHAnsi" w:hAnsiTheme="minorHAnsi" w:cstheme="minorHAnsi"/>
          <w:color w:val="000000"/>
        </w:rPr>
        <w:t>hrs</w:t>
      </w:r>
      <w:proofErr w:type="spellEnd"/>
      <w:r w:rsidRPr="00CD41F1">
        <w:rPr>
          <w:rFonts w:asciiTheme="minorHAnsi" w:hAnsiTheme="minorHAnsi" w:cstheme="minorHAnsi"/>
          <w:color w:val="000000"/>
        </w:rPr>
        <w:t xml:space="preserve"> must be thesis) until completion of the degree. </w:t>
      </w:r>
    </w:p>
    <w:p w14:paraId="21BD8FE1" w14:textId="77777777" w:rsidR="00CD41F1" w:rsidRPr="00CD41F1" w:rsidRDefault="00CD41F1" w:rsidP="00CD41F1">
      <w:pPr>
        <w:pStyle w:val="NormalWeb"/>
        <w:ind w:left="1440"/>
        <w:rPr>
          <w:rFonts w:asciiTheme="minorHAnsi" w:hAnsiTheme="minorHAnsi" w:cstheme="minorHAnsi"/>
          <w:color w:val="000000"/>
        </w:rPr>
      </w:pPr>
    </w:p>
    <w:p w14:paraId="2A297284" w14:textId="0003AA82" w:rsidR="00CD41F1" w:rsidRDefault="00E164D7" w:rsidP="00CD41F1">
      <w:pPr>
        <w:pStyle w:val="NormalWeb"/>
        <w:numPr>
          <w:ilvl w:val="0"/>
          <w:numId w:val="29"/>
        </w:numPr>
        <w:rPr>
          <w:rFonts w:asciiTheme="minorHAnsi" w:hAnsiTheme="minorHAnsi" w:cstheme="minorHAnsi"/>
          <w:color w:val="000000"/>
        </w:rPr>
      </w:pPr>
      <w:r>
        <w:rPr>
          <w:rFonts w:asciiTheme="minorHAnsi" w:hAnsiTheme="minorHAnsi" w:cstheme="minorHAnsi"/>
          <w:color w:val="000000"/>
          <w:u w:val="single"/>
        </w:rPr>
        <w:t>Dismissal and Reinstatement for Professional Colleges</w:t>
      </w:r>
      <w:r w:rsidR="00CD41F1">
        <w:rPr>
          <w:rFonts w:asciiTheme="minorHAnsi" w:hAnsiTheme="minorHAnsi" w:cstheme="minorHAnsi"/>
          <w:color w:val="000000"/>
          <w:u w:val="single"/>
        </w:rPr>
        <w:t xml:space="preserve"> Section</w:t>
      </w:r>
      <w:r w:rsidR="00CD41F1">
        <w:rPr>
          <w:rFonts w:asciiTheme="minorHAnsi" w:hAnsiTheme="minorHAnsi" w:cstheme="minorHAnsi"/>
          <w:color w:val="000000"/>
        </w:rPr>
        <w:t>- Deleted the existing two paragraphs in this section</w:t>
      </w:r>
      <w:r w:rsidR="00CD41F1" w:rsidRPr="00CD41F1">
        <w:rPr>
          <w:rFonts w:asciiTheme="minorHAnsi" w:hAnsiTheme="minorHAnsi" w:cstheme="minorHAnsi"/>
          <w:color w:val="000000"/>
        </w:rPr>
        <w:t xml:space="preserve"> and replace</w:t>
      </w:r>
      <w:r w:rsidR="00CD41F1">
        <w:rPr>
          <w:rFonts w:asciiTheme="minorHAnsi" w:hAnsiTheme="minorHAnsi" w:cstheme="minorHAnsi"/>
          <w:color w:val="000000"/>
        </w:rPr>
        <w:t>d</w:t>
      </w:r>
      <w:r w:rsidR="00CD41F1" w:rsidRPr="00CD41F1">
        <w:rPr>
          <w:rFonts w:asciiTheme="minorHAnsi" w:hAnsiTheme="minorHAnsi" w:cstheme="minorHAnsi"/>
          <w:color w:val="000000"/>
        </w:rPr>
        <w:t xml:space="preserve"> them with the following language:</w:t>
      </w:r>
      <w:r w:rsidR="00CD41F1">
        <w:rPr>
          <w:rFonts w:asciiTheme="minorHAnsi" w:hAnsiTheme="minorHAnsi" w:cstheme="minorHAnsi"/>
          <w:color w:val="000000"/>
        </w:rPr>
        <w:t xml:space="preserve"> </w:t>
      </w:r>
    </w:p>
    <w:p w14:paraId="27B0FEB7" w14:textId="77777777" w:rsidR="0042199A" w:rsidRDefault="0042199A" w:rsidP="0042199A">
      <w:pPr>
        <w:pStyle w:val="NormalWeb"/>
        <w:ind w:left="1440"/>
        <w:rPr>
          <w:rFonts w:asciiTheme="minorHAnsi" w:hAnsiTheme="minorHAnsi" w:cstheme="minorHAnsi"/>
          <w:color w:val="000000"/>
        </w:rPr>
      </w:pPr>
    </w:p>
    <w:p w14:paraId="2CD5313C" w14:textId="77777777" w:rsidR="00CD41F1" w:rsidRDefault="00CD41F1" w:rsidP="00CD41F1">
      <w:pPr>
        <w:pStyle w:val="NormalWeb"/>
        <w:numPr>
          <w:ilvl w:val="0"/>
          <w:numId w:val="32"/>
        </w:numPr>
        <w:rPr>
          <w:rFonts w:asciiTheme="minorHAnsi" w:hAnsiTheme="minorHAnsi" w:cstheme="minorHAnsi"/>
          <w:color w:val="000000"/>
        </w:rPr>
      </w:pPr>
      <w:r w:rsidRPr="00CD41F1">
        <w:rPr>
          <w:rFonts w:asciiTheme="minorHAnsi" w:hAnsiTheme="minorHAnsi" w:cstheme="minorHAnsi"/>
          <w:color w:val="000000"/>
        </w:rPr>
        <w:t xml:space="preserve">Retention and dismissal polices of the College of Law are described in Section 13 of the College of Law’s Academic Rules, Policies, and Procedures Bylaws. </w:t>
      </w:r>
    </w:p>
    <w:p w14:paraId="19F9C526" w14:textId="79076C5D" w:rsidR="00CD41F1" w:rsidRPr="00CD41F1" w:rsidRDefault="00CD41F1" w:rsidP="00CD41F1">
      <w:pPr>
        <w:pStyle w:val="NormalWeb"/>
        <w:numPr>
          <w:ilvl w:val="0"/>
          <w:numId w:val="32"/>
        </w:numPr>
        <w:rPr>
          <w:rFonts w:asciiTheme="minorHAnsi" w:hAnsiTheme="minorHAnsi" w:cstheme="minorHAnsi"/>
          <w:color w:val="000000"/>
        </w:rPr>
      </w:pPr>
      <w:r w:rsidRPr="00CD41F1">
        <w:rPr>
          <w:rFonts w:asciiTheme="minorHAnsi" w:hAnsiTheme="minorHAnsi" w:cstheme="minorHAnsi"/>
          <w:color w:val="000000"/>
        </w:rPr>
        <w:t>The policies for promotion, remediation, probation, and dismissal for the College of Medicine are specified in the College of Medicine’s Student Handbook.”</w:t>
      </w:r>
    </w:p>
    <w:p w14:paraId="0CB2FD7F" w14:textId="6A6F3D92" w:rsidR="00E64A06" w:rsidRPr="0017509A" w:rsidRDefault="00E164D7" w:rsidP="00CD41F1">
      <w:pPr>
        <w:pStyle w:val="NormalWeb"/>
        <w:rPr>
          <w:rFonts w:asciiTheme="minorHAnsi" w:hAnsiTheme="minorHAnsi" w:cstheme="minorHAnsi"/>
          <w:color w:val="000000"/>
        </w:rPr>
      </w:pPr>
      <w:r>
        <w:rPr>
          <w:rFonts w:asciiTheme="minorHAnsi" w:hAnsiTheme="minorHAnsi" w:cstheme="minorHAnsi"/>
          <w:color w:val="000000"/>
        </w:rPr>
        <w:t xml:space="preserve"> </w:t>
      </w:r>
    </w:p>
    <w:p w14:paraId="21CF8835" w14:textId="77777777" w:rsidR="00031EBC" w:rsidRDefault="00322296" w:rsidP="007C4AC8">
      <w:pPr>
        <w:pStyle w:val="NormalWeb"/>
        <w:numPr>
          <w:ilvl w:val="0"/>
          <w:numId w:val="26"/>
        </w:numPr>
        <w:rPr>
          <w:rFonts w:asciiTheme="minorHAnsi" w:hAnsiTheme="minorHAnsi" w:cstheme="minorHAnsi"/>
          <w:color w:val="000000"/>
        </w:rPr>
      </w:pPr>
      <w:r w:rsidRPr="00322296">
        <w:rPr>
          <w:rFonts w:asciiTheme="minorHAnsi" w:hAnsiTheme="minorHAnsi" w:cstheme="minorHAnsi"/>
          <w:b/>
          <w:color w:val="000000"/>
          <w:u w:val="single"/>
        </w:rPr>
        <w:t>Graduate Degree and Certificate R</w:t>
      </w:r>
      <w:r w:rsidR="007C4AC8" w:rsidRPr="00322296">
        <w:rPr>
          <w:rFonts w:asciiTheme="minorHAnsi" w:hAnsiTheme="minorHAnsi" w:cstheme="minorHAnsi"/>
          <w:b/>
          <w:color w:val="000000"/>
          <w:u w:val="single"/>
        </w:rPr>
        <w:t>equirements</w:t>
      </w:r>
      <w:r w:rsidRPr="00322296">
        <w:rPr>
          <w:rFonts w:asciiTheme="minorHAnsi" w:hAnsiTheme="minorHAnsi" w:cstheme="minorHAnsi"/>
          <w:b/>
          <w:color w:val="000000"/>
          <w:u w:val="single"/>
        </w:rPr>
        <w:t>-</w:t>
      </w:r>
      <w:r w:rsidR="00031EBC">
        <w:rPr>
          <w:rFonts w:asciiTheme="minorHAnsi" w:hAnsiTheme="minorHAnsi" w:cstheme="minorHAnsi"/>
          <w:color w:val="000000"/>
        </w:rPr>
        <w:t xml:space="preserve"> </w:t>
      </w:r>
    </w:p>
    <w:p w14:paraId="299E6E65" w14:textId="5E410903" w:rsidR="007422B8" w:rsidRPr="0042199A" w:rsidRDefault="00CD41F1" w:rsidP="0042199A">
      <w:pPr>
        <w:pStyle w:val="NormalWeb"/>
        <w:numPr>
          <w:ilvl w:val="0"/>
          <w:numId w:val="28"/>
        </w:numPr>
        <w:rPr>
          <w:rFonts w:asciiTheme="minorHAnsi" w:hAnsiTheme="minorHAnsi" w:cstheme="minorHAnsi"/>
          <w:color w:val="000000"/>
        </w:rPr>
      </w:pPr>
      <w:r>
        <w:rPr>
          <w:rFonts w:asciiTheme="minorHAnsi" w:hAnsiTheme="minorHAnsi" w:cstheme="minorHAnsi"/>
          <w:color w:val="000000"/>
          <w:u w:val="single"/>
        </w:rPr>
        <w:t xml:space="preserve">Professional </w:t>
      </w:r>
      <w:r w:rsidR="00031EBC" w:rsidRPr="00031EBC">
        <w:rPr>
          <w:rFonts w:asciiTheme="minorHAnsi" w:hAnsiTheme="minorHAnsi" w:cstheme="minorHAnsi"/>
          <w:color w:val="000000"/>
          <w:u w:val="single"/>
        </w:rPr>
        <w:t>Degree Section</w:t>
      </w:r>
      <w:r w:rsidR="00031EBC">
        <w:rPr>
          <w:rFonts w:asciiTheme="minorHAnsi" w:hAnsiTheme="minorHAnsi" w:cstheme="minorHAnsi"/>
          <w:color w:val="000000"/>
        </w:rPr>
        <w:t xml:space="preserve">- </w:t>
      </w:r>
      <w:r>
        <w:rPr>
          <w:rFonts w:asciiTheme="minorHAnsi" w:hAnsiTheme="minorHAnsi" w:cstheme="minorHAnsi"/>
          <w:color w:val="000000"/>
        </w:rPr>
        <w:t>Included a statement in this section that states: “</w:t>
      </w:r>
      <w:r w:rsidRPr="00CD41F1">
        <w:rPr>
          <w:rFonts w:asciiTheme="minorHAnsi" w:hAnsiTheme="minorHAnsi" w:cstheme="minorHAnsi"/>
          <w:color w:val="000000"/>
        </w:rPr>
        <w:t>The Graduate School oversees all post-bachelor programs with the exceptions as noted in this Bulletin. The Graduate Policy Committee is the governing body for all academic graduate and professional post-bachelor programs regarding general policies, procedures, and quality review. Programs seeking exceptions can apply to the Graduate Policy Committee.”</w:t>
      </w:r>
    </w:p>
    <w:p w14:paraId="03910F87" w14:textId="48FA8AB9" w:rsidR="00A2379A" w:rsidRPr="001242FB" w:rsidRDefault="00A2379A" w:rsidP="00A2379A">
      <w:pPr>
        <w:pStyle w:val="NormalWeb"/>
        <w:rPr>
          <w:rFonts w:asciiTheme="minorHAnsi" w:hAnsiTheme="minorHAnsi" w:cstheme="minorHAnsi"/>
          <w:color w:val="000000"/>
          <w:sz w:val="28"/>
          <w:szCs w:val="28"/>
        </w:rPr>
      </w:pPr>
      <w:r>
        <w:rPr>
          <w:rFonts w:asciiTheme="minorHAnsi" w:hAnsiTheme="minorHAnsi" w:cstheme="minorHAnsi"/>
          <w:b/>
          <w:bCs/>
          <w:color w:val="000000"/>
          <w:sz w:val="28"/>
          <w:szCs w:val="28"/>
          <w:u w:val="single"/>
        </w:rPr>
        <w:t>Reminders:</w:t>
      </w:r>
    </w:p>
    <w:p w14:paraId="00C19912" w14:textId="74866F44" w:rsidR="00EB6090" w:rsidRPr="00F254F4" w:rsidRDefault="00EB6090" w:rsidP="00EB6090">
      <w:pPr>
        <w:numPr>
          <w:ilvl w:val="0"/>
          <w:numId w:val="4"/>
        </w:numPr>
        <w:spacing w:before="100" w:beforeAutospacing="1" w:after="100" w:afterAutospacing="1"/>
        <w:rPr>
          <w:rFonts w:asciiTheme="minorHAnsi" w:eastAsia="Times New Roman" w:hAnsiTheme="minorHAnsi" w:cstheme="minorHAnsi"/>
          <w:b/>
          <w:color w:val="000000"/>
          <w:szCs w:val="24"/>
          <w:u w:val="single"/>
        </w:rPr>
      </w:pPr>
      <w:r w:rsidRPr="00F254F4">
        <w:rPr>
          <w:rFonts w:asciiTheme="minorHAnsi" w:eastAsia="Times New Roman" w:hAnsiTheme="minorHAnsi" w:cstheme="minorHAnsi"/>
          <w:b/>
          <w:color w:val="000000"/>
          <w:szCs w:val="24"/>
          <w:u w:val="single"/>
        </w:rPr>
        <w:t xml:space="preserve">Upcoming </w:t>
      </w:r>
      <w:r w:rsidR="00F254F4" w:rsidRPr="00F254F4">
        <w:rPr>
          <w:rFonts w:asciiTheme="minorHAnsi" w:eastAsia="Times New Roman" w:hAnsiTheme="minorHAnsi" w:cstheme="minorHAnsi"/>
          <w:b/>
          <w:color w:val="000000"/>
          <w:szCs w:val="24"/>
          <w:u w:val="single"/>
        </w:rPr>
        <w:t xml:space="preserve">Graduate School </w:t>
      </w:r>
      <w:r w:rsidRPr="00F254F4">
        <w:rPr>
          <w:rFonts w:asciiTheme="minorHAnsi" w:eastAsia="Times New Roman" w:hAnsiTheme="minorHAnsi" w:cstheme="minorHAnsi"/>
          <w:b/>
          <w:color w:val="000000"/>
          <w:szCs w:val="24"/>
          <w:u w:val="single"/>
        </w:rPr>
        <w:t>Deadlines:</w:t>
      </w:r>
    </w:p>
    <w:p w14:paraId="62F0FA75" w14:textId="5BC02248" w:rsidR="00EB6090" w:rsidRPr="00EB6090" w:rsidRDefault="00EB6090" w:rsidP="00EB6090">
      <w:pPr>
        <w:pStyle w:val="NormalWeb"/>
        <w:rPr>
          <w:rFonts w:asciiTheme="minorHAnsi" w:hAnsiTheme="minorHAnsi" w:cstheme="minorHAnsi"/>
          <w:color w:val="000000"/>
        </w:rPr>
      </w:pPr>
      <w:r w:rsidRPr="00EB6090">
        <w:rPr>
          <w:rFonts w:asciiTheme="minorHAnsi" w:hAnsiTheme="minorHAnsi" w:cstheme="minorHAnsi"/>
          <w:color w:val="000000"/>
        </w:rPr>
        <w:t xml:space="preserve">The </w:t>
      </w:r>
      <w:hyperlink r:id="rId12" w:history="1">
        <w:r w:rsidRPr="004839BD">
          <w:rPr>
            <w:rStyle w:val="Hyperlink"/>
            <w:rFonts w:asciiTheme="minorHAnsi" w:hAnsiTheme="minorHAnsi" w:cstheme="minorHAnsi"/>
          </w:rPr>
          <w:t>Graduate School’s Faculty/Staff Website</w:t>
        </w:r>
      </w:hyperlink>
      <w:r>
        <w:rPr>
          <w:rStyle w:val="Hyperlink"/>
          <w:rFonts w:asciiTheme="minorHAnsi" w:hAnsiTheme="minorHAnsi" w:cstheme="minorHAnsi"/>
        </w:rPr>
        <w:t xml:space="preserve"> </w:t>
      </w:r>
      <w:r w:rsidRPr="00EB6090">
        <w:rPr>
          <w:rFonts w:asciiTheme="minorHAnsi" w:hAnsiTheme="minorHAnsi" w:cstheme="minorHAnsi"/>
          <w:color w:val="000000"/>
        </w:rPr>
        <w:t xml:space="preserve">has been updated and now shows all of the different deadlines coming up in </w:t>
      </w:r>
      <w:proofErr w:type="gramStart"/>
      <w:r w:rsidRPr="00EB6090">
        <w:rPr>
          <w:rFonts w:asciiTheme="minorHAnsi" w:hAnsiTheme="minorHAnsi" w:cstheme="minorHAnsi"/>
          <w:color w:val="000000"/>
        </w:rPr>
        <w:t>Summer</w:t>
      </w:r>
      <w:proofErr w:type="gramEnd"/>
      <w:r w:rsidRPr="00EB6090">
        <w:rPr>
          <w:rFonts w:asciiTheme="minorHAnsi" w:hAnsiTheme="minorHAnsi" w:cstheme="minorHAnsi"/>
          <w:color w:val="000000"/>
        </w:rPr>
        <w:t xml:space="preserve"> 2021 for TA Certification, Faculty Status,</w:t>
      </w:r>
      <w:r w:rsidR="00F254F4">
        <w:rPr>
          <w:rFonts w:asciiTheme="minorHAnsi" w:hAnsiTheme="minorHAnsi" w:cstheme="minorHAnsi"/>
          <w:color w:val="000000"/>
        </w:rPr>
        <w:t xml:space="preserve"> the Committee Analysis Report</w:t>
      </w:r>
      <w:r w:rsidRPr="00EB6090">
        <w:rPr>
          <w:rFonts w:asciiTheme="minorHAnsi" w:hAnsiTheme="minorHAnsi" w:cstheme="minorHAnsi"/>
          <w:color w:val="000000"/>
        </w:rPr>
        <w:t xml:space="preserve">, Dissertation Supervisory Committees Report, </w:t>
      </w:r>
      <w:r>
        <w:rPr>
          <w:rFonts w:asciiTheme="minorHAnsi" w:hAnsiTheme="minorHAnsi" w:cstheme="minorHAnsi"/>
          <w:color w:val="000000"/>
        </w:rPr>
        <w:t xml:space="preserve">Doctoral Student Annual Evaluation Review, </w:t>
      </w:r>
      <w:r w:rsidRPr="00EB6090">
        <w:rPr>
          <w:rFonts w:asciiTheme="minorHAnsi" w:hAnsiTheme="minorHAnsi" w:cstheme="minorHAnsi"/>
          <w:color w:val="000000"/>
        </w:rPr>
        <w:t xml:space="preserve">etc. </w:t>
      </w:r>
    </w:p>
    <w:p w14:paraId="6E7D0755" w14:textId="11471334" w:rsidR="00A2379A" w:rsidRPr="00F254F4" w:rsidRDefault="00A2379A" w:rsidP="00366004">
      <w:pPr>
        <w:numPr>
          <w:ilvl w:val="0"/>
          <w:numId w:val="4"/>
        </w:numPr>
        <w:spacing w:before="100" w:beforeAutospacing="1" w:after="100" w:afterAutospacing="1"/>
        <w:rPr>
          <w:rFonts w:asciiTheme="minorHAnsi" w:eastAsia="Times New Roman" w:hAnsiTheme="minorHAnsi" w:cstheme="minorHAnsi"/>
          <w:b/>
          <w:color w:val="000000"/>
          <w:szCs w:val="24"/>
        </w:rPr>
      </w:pPr>
      <w:r w:rsidRPr="00F254F4">
        <w:rPr>
          <w:rFonts w:asciiTheme="minorHAnsi" w:eastAsia="Times New Roman" w:hAnsiTheme="minorHAnsi" w:cstheme="minorHAnsi"/>
          <w:b/>
          <w:color w:val="000000"/>
          <w:szCs w:val="24"/>
          <w:u w:val="single"/>
        </w:rPr>
        <w:t>G</w:t>
      </w:r>
      <w:r w:rsidR="00F21DBA" w:rsidRPr="00F254F4">
        <w:rPr>
          <w:rFonts w:asciiTheme="minorHAnsi" w:eastAsia="Times New Roman" w:hAnsiTheme="minorHAnsi" w:cstheme="minorHAnsi"/>
          <w:b/>
          <w:color w:val="000000"/>
          <w:szCs w:val="24"/>
          <w:u w:val="single"/>
        </w:rPr>
        <w:t>raduate Policy Committee (GPC)</w:t>
      </w:r>
      <w:r w:rsidRPr="00F254F4">
        <w:rPr>
          <w:rFonts w:asciiTheme="minorHAnsi" w:eastAsia="Times New Roman" w:hAnsiTheme="minorHAnsi" w:cstheme="minorHAnsi"/>
          <w:b/>
          <w:color w:val="000000"/>
          <w:szCs w:val="24"/>
          <w:u w:val="single"/>
        </w:rPr>
        <w:t xml:space="preserve"> Proposal Submissions:</w:t>
      </w:r>
    </w:p>
    <w:p w14:paraId="4D8F3832" w14:textId="78506A70" w:rsidR="00A2379A" w:rsidRPr="00F254F4" w:rsidRDefault="00A2379A" w:rsidP="003245B3">
      <w:pPr>
        <w:pStyle w:val="NormalWeb"/>
        <w:rPr>
          <w:rFonts w:asciiTheme="minorHAnsi" w:hAnsiTheme="minorHAnsi" w:cstheme="minorHAnsi"/>
          <w:color w:val="000000"/>
        </w:rPr>
      </w:pPr>
      <w:r w:rsidRPr="00F254F4">
        <w:rPr>
          <w:rFonts w:asciiTheme="minorHAnsi" w:hAnsiTheme="minorHAnsi" w:cstheme="minorHAnsi"/>
          <w:bCs/>
          <w:color w:val="000000"/>
        </w:rPr>
        <w:t xml:space="preserve">Units planning to submit proposals to the Graduate Policy Committee need to establish their intent to file by the end of the </w:t>
      </w:r>
      <w:r w:rsidRPr="00F254F4">
        <w:rPr>
          <w:rFonts w:asciiTheme="minorHAnsi" w:hAnsiTheme="minorHAnsi" w:cstheme="minorHAnsi"/>
          <w:bCs/>
          <w:color w:val="000000"/>
          <w:u w:val="single"/>
        </w:rPr>
        <w:t>third week of the semester</w:t>
      </w:r>
      <w:r w:rsidRPr="00F254F4">
        <w:rPr>
          <w:rFonts w:asciiTheme="minorHAnsi" w:hAnsiTheme="minorHAnsi" w:cstheme="minorHAnsi"/>
          <w:bCs/>
          <w:color w:val="000000"/>
        </w:rPr>
        <w:t xml:space="preserve"> in which they plan to file. </w:t>
      </w:r>
      <w:r w:rsidRPr="00F254F4">
        <w:rPr>
          <w:rFonts w:asciiTheme="minorHAnsi" w:hAnsiTheme="minorHAnsi" w:cstheme="minorHAnsi"/>
          <w:color w:val="000000"/>
        </w:rPr>
        <w:t>All submissions or intentions to file notification should be submitted to James Beck (</w:t>
      </w:r>
      <w:hyperlink r:id="rId13" w:history="1">
        <w:r w:rsidRPr="00F254F4">
          <w:rPr>
            <w:rStyle w:val="Hyperlink"/>
            <w:rFonts w:asciiTheme="minorHAnsi" w:hAnsiTheme="minorHAnsi" w:cstheme="minorHAnsi"/>
          </w:rPr>
          <w:t>jpbeck@fsu.edu</w:t>
        </w:r>
      </w:hyperlink>
      <w:r w:rsidR="009A6A8D" w:rsidRPr="00F254F4">
        <w:rPr>
          <w:rFonts w:asciiTheme="minorHAnsi" w:hAnsiTheme="minorHAnsi" w:cstheme="minorHAnsi"/>
          <w:color w:val="000000"/>
        </w:rPr>
        <w:t xml:space="preserve">) in </w:t>
      </w:r>
      <w:r w:rsidRPr="00F254F4">
        <w:rPr>
          <w:rFonts w:asciiTheme="minorHAnsi" w:hAnsiTheme="minorHAnsi" w:cstheme="minorHAnsi"/>
          <w:color w:val="000000"/>
        </w:rPr>
        <w:t>the Graduate School.</w:t>
      </w:r>
      <w:r w:rsidR="00EA79D6" w:rsidRPr="00F254F4">
        <w:rPr>
          <w:rFonts w:asciiTheme="minorHAnsi" w:hAnsiTheme="minorHAnsi" w:cstheme="minorHAnsi"/>
          <w:color w:val="000000"/>
        </w:rPr>
        <w:t xml:space="preserve"> </w:t>
      </w:r>
    </w:p>
    <w:p w14:paraId="0A6BBACC"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b/>
          <w:bCs/>
          <w:color w:val="000000"/>
        </w:rPr>
        <w:t> </w:t>
      </w:r>
    </w:p>
    <w:p w14:paraId="33CCA090" w14:textId="6F0A7B4C" w:rsidR="00F21DBA" w:rsidRPr="009A6A8D" w:rsidRDefault="00A2379A" w:rsidP="009A6A8D">
      <w:pPr>
        <w:pStyle w:val="NormalWeb"/>
        <w:rPr>
          <w:rFonts w:asciiTheme="minorHAnsi" w:hAnsiTheme="minorHAnsi" w:cstheme="minorHAnsi"/>
          <w:color w:val="000000"/>
        </w:rPr>
      </w:pPr>
      <w:r>
        <w:rPr>
          <w:rFonts w:asciiTheme="minorHAnsi" w:hAnsiTheme="minorHAnsi" w:cstheme="minorHAnsi"/>
          <w:color w:val="000000"/>
        </w:rPr>
        <w:t>The mission of the Graduate Policy Committee (GPC) is to help units around the university deliver the best possible graduate education. To this end, the GPC conducts graduate-level program rev</w:t>
      </w:r>
      <w:r w:rsidR="00EA79D6">
        <w:rPr>
          <w:rFonts w:asciiTheme="minorHAnsi" w:hAnsiTheme="minorHAnsi" w:cstheme="minorHAnsi"/>
          <w:color w:val="000000"/>
        </w:rPr>
        <w:t>iews as part of the QER process,</w:t>
      </w:r>
      <w:r>
        <w:rPr>
          <w:rFonts w:asciiTheme="minorHAnsi" w:hAnsiTheme="minorHAnsi" w:cstheme="minorHAnsi"/>
          <w:color w:val="000000"/>
        </w:rPr>
        <w:t xml:space="preserve"> considers university-wide policy</w:t>
      </w:r>
      <w:r w:rsidR="00EA79D6">
        <w:rPr>
          <w:rFonts w:asciiTheme="minorHAnsi" w:hAnsiTheme="minorHAnsi" w:cstheme="minorHAnsi"/>
          <w:color w:val="000000"/>
        </w:rPr>
        <w:t xml:space="preserve"> relating to graduate education, reviews departmental requests for GRE/GMAT waivers</w:t>
      </w:r>
      <w:r>
        <w:rPr>
          <w:rFonts w:asciiTheme="minorHAnsi" w:hAnsiTheme="minorHAnsi" w:cstheme="minorHAnsi"/>
          <w:color w:val="000000"/>
        </w:rPr>
        <w:t xml:space="preserve"> and reviews applications for new and </w:t>
      </w:r>
      <w:r w:rsidR="00EA79D6">
        <w:rPr>
          <w:rFonts w:asciiTheme="minorHAnsi" w:hAnsiTheme="minorHAnsi" w:cstheme="minorHAnsi"/>
          <w:color w:val="000000"/>
        </w:rPr>
        <w:t>combined/</w:t>
      </w:r>
      <w:r w:rsidR="009A6A8D">
        <w:rPr>
          <w:rFonts w:asciiTheme="minorHAnsi" w:hAnsiTheme="minorHAnsi" w:cstheme="minorHAnsi"/>
          <w:color w:val="000000"/>
        </w:rPr>
        <w:t xml:space="preserve">joint graduate pathway </w:t>
      </w:r>
      <w:r>
        <w:rPr>
          <w:rFonts w:asciiTheme="minorHAnsi" w:hAnsiTheme="minorHAnsi" w:cstheme="minorHAnsi"/>
          <w:color w:val="000000"/>
        </w:rPr>
        <w:t>progr</w:t>
      </w:r>
      <w:r w:rsidR="00470192">
        <w:rPr>
          <w:rFonts w:asciiTheme="minorHAnsi" w:hAnsiTheme="minorHAnsi" w:cstheme="minorHAnsi"/>
          <w:color w:val="000000"/>
        </w:rPr>
        <w:t>ams. It’s important work, and the group</w:t>
      </w:r>
      <w:r>
        <w:rPr>
          <w:rFonts w:asciiTheme="minorHAnsi" w:hAnsiTheme="minorHAnsi" w:cstheme="minorHAnsi"/>
          <w:color w:val="000000"/>
        </w:rPr>
        <w:t xml:space="preserve"> take</w:t>
      </w:r>
      <w:r w:rsidR="00470192">
        <w:rPr>
          <w:rFonts w:asciiTheme="minorHAnsi" w:hAnsiTheme="minorHAnsi" w:cstheme="minorHAnsi"/>
          <w:color w:val="000000"/>
        </w:rPr>
        <w:t>s</w:t>
      </w:r>
      <w:r>
        <w:rPr>
          <w:rFonts w:asciiTheme="minorHAnsi" w:hAnsiTheme="minorHAnsi" w:cstheme="minorHAnsi"/>
          <w:color w:val="000000"/>
        </w:rPr>
        <w:t xml:space="preserve"> it very ser</w:t>
      </w:r>
      <w:r w:rsidR="00470192">
        <w:rPr>
          <w:rFonts w:asciiTheme="minorHAnsi" w:hAnsiTheme="minorHAnsi" w:cstheme="minorHAnsi"/>
          <w:color w:val="000000"/>
        </w:rPr>
        <w:t>iously. To do this work well, I need to manage the GPC’s</w:t>
      </w:r>
      <w:r>
        <w:rPr>
          <w:rFonts w:asciiTheme="minorHAnsi" w:hAnsiTheme="minorHAnsi" w:cstheme="minorHAnsi"/>
          <w:color w:val="000000"/>
        </w:rPr>
        <w:t xml:space="preserve"> time carefully. In order to coordinate units’ new proposal submissions and regularly scheduled unit reviews, this policy was established. Having advance notice of all submissions that will come in during </w:t>
      </w:r>
      <w:r w:rsidR="00470192">
        <w:rPr>
          <w:rFonts w:asciiTheme="minorHAnsi" w:hAnsiTheme="minorHAnsi" w:cstheme="minorHAnsi"/>
          <w:color w:val="000000"/>
        </w:rPr>
        <w:t>any given semester will allow me</w:t>
      </w:r>
      <w:r>
        <w:rPr>
          <w:rFonts w:asciiTheme="minorHAnsi" w:hAnsiTheme="minorHAnsi" w:cstheme="minorHAnsi"/>
          <w:color w:val="000000"/>
        </w:rPr>
        <w:t xml:space="preserve"> to</w:t>
      </w:r>
      <w:r w:rsidR="00470192">
        <w:rPr>
          <w:rFonts w:asciiTheme="minorHAnsi" w:hAnsiTheme="minorHAnsi" w:cstheme="minorHAnsi"/>
          <w:color w:val="000000"/>
        </w:rPr>
        <w:t xml:space="preserve"> properly</w:t>
      </w:r>
      <w:r>
        <w:rPr>
          <w:rFonts w:asciiTheme="minorHAnsi" w:hAnsiTheme="minorHAnsi" w:cstheme="minorHAnsi"/>
          <w:color w:val="000000"/>
        </w:rPr>
        <w:t xml:space="preserve"> allocate adequa</w:t>
      </w:r>
      <w:r w:rsidR="00470192">
        <w:rPr>
          <w:rFonts w:asciiTheme="minorHAnsi" w:hAnsiTheme="minorHAnsi" w:cstheme="minorHAnsi"/>
          <w:color w:val="000000"/>
        </w:rPr>
        <w:t>te time for each agenda item. I</w:t>
      </w:r>
      <w:r>
        <w:rPr>
          <w:rFonts w:asciiTheme="minorHAnsi" w:hAnsiTheme="minorHAnsi" w:cstheme="minorHAnsi"/>
          <w:color w:val="000000"/>
        </w:rPr>
        <w:t xml:space="preserve"> would also like to point out that you are welcome to submit either your intent or your actual proposal early. In fact, the first few weeks of any semester are the best time for the GPC to be reviewing proposal</w:t>
      </w:r>
      <w:r w:rsidR="00470192">
        <w:rPr>
          <w:rFonts w:asciiTheme="minorHAnsi" w:hAnsiTheme="minorHAnsi" w:cstheme="minorHAnsi"/>
          <w:color w:val="000000"/>
        </w:rPr>
        <w:t>s. Thus, feel free to contact me</w:t>
      </w:r>
      <w:r w:rsidR="00605CCF">
        <w:rPr>
          <w:rFonts w:asciiTheme="minorHAnsi" w:hAnsiTheme="minorHAnsi" w:cstheme="minorHAnsi"/>
          <w:color w:val="000000"/>
        </w:rPr>
        <w:t xml:space="preserve"> as soon as possible</w:t>
      </w:r>
      <w:r>
        <w:rPr>
          <w:rFonts w:asciiTheme="minorHAnsi" w:hAnsiTheme="minorHAnsi" w:cstheme="minorHAnsi"/>
          <w:color w:val="000000"/>
        </w:rPr>
        <w:t xml:space="preserve"> in order to get scheduled for early fall semester.</w:t>
      </w:r>
    </w:p>
    <w:p w14:paraId="76F49891" w14:textId="56FB09EB" w:rsidR="00A2379A" w:rsidRPr="00F254F4" w:rsidRDefault="00322296" w:rsidP="00470192">
      <w:pPr>
        <w:pStyle w:val="ListParagraph"/>
        <w:numPr>
          <w:ilvl w:val="0"/>
          <w:numId w:val="4"/>
        </w:numPr>
        <w:spacing w:before="100" w:beforeAutospacing="1" w:after="200" w:line="276" w:lineRule="auto"/>
        <w:rPr>
          <w:rFonts w:asciiTheme="minorHAnsi" w:eastAsia="Times New Roman" w:hAnsiTheme="minorHAnsi" w:cstheme="minorHAnsi"/>
          <w:b/>
          <w:color w:val="000000"/>
        </w:rPr>
      </w:pPr>
      <w:r w:rsidRPr="00F254F4">
        <w:rPr>
          <w:rFonts w:asciiTheme="minorHAnsi" w:eastAsia="Times New Roman" w:hAnsiTheme="minorHAnsi" w:cstheme="minorHAnsi"/>
          <w:b/>
          <w:color w:val="000000"/>
          <w:u w:val="single"/>
        </w:rPr>
        <w:t>Combined</w:t>
      </w:r>
      <w:r w:rsidR="00A2379A" w:rsidRPr="00F254F4">
        <w:rPr>
          <w:rFonts w:asciiTheme="minorHAnsi" w:eastAsia="Times New Roman" w:hAnsiTheme="minorHAnsi" w:cstheme="minorHAnsi"/>
          <w:b/>
          <w:color w:val="000000"/>
          <w:u w:val="single"/>
        </w:rPr>
        <w:t xml:space="preserve"> and Joint Graduate Pathways Tracking</w:t>
      </w:r>
      <w:r w:rsidR="00435FAA" w:rsidRPr="00F254F4">
        <w:rPr>
          <w:rFonts w:asciiTheme="minorHAnsi" w:eastAsia="Times New Roman" w:hAnsiTheme="minorHAnsi" w:cstheme="minorHAnsi"/>
          <w:b/>
          <w:color w:val="000000"/>
          <w:u w:val="single"/>
        </w:rPr>
        <w:t xml:space="preserve"> in Student Central</w:t>
      </w:r>
      <w:r w:rsidR="00A2379A" w:rsidRPr="00F254F4">
        <w:rPr>
          <w:rFonts w:asciiTheme="minorHAnsi" w:eastAsia="Times New Roman" w:hAnsiTheme="minorHAnsi" w:cstheme="minorHAnsi"/>
          <w:b/>
          <w:color w:val="000000"/>
          <w:u w:val="single"/>
        </w:rPr>
        <w:t>:</w:t>
      </w:r>
    </w:p>
    <w:p w14:paraId="208DD968" w14:textId="6E4C1BB9" w:rsidR="00A2379A" w:rsidRPr="005A1687" w:rsidRDefault="00A2379A" w:rsidP="00A2379A">
      <w:pPr>
        <w:spacing w:before="100" w:beforeAutospacing="1" w:after="200"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Each pathway requires admission and is available only to academically talented students. All programs must c</w:t>
      </w:r>
      <w:r w:rsidR="00322296">
        <w:rPr>
          <w:rFonts w:asciiTheme="minorHAnsi" w:eastAsia="Times New Roman" w:hAnsiTheme="minorHAnsi" w:cstheme="minorHAnsi"/>
          <w:color w:val="000000"/>
          <w:sz w:val="22"/>
          <w:szCs w:val="22"/>
        </w:rPr>
        <w:t>ode their combined</w:t>
      </w:r>
      <w:r w:rsidRPr="005A1687">
        <w:rPr>
          <w:rFonts w:asciiTheme="minorHAnsi" w:eastAsia="Times New Roman" w:hAnsiTheme="minorHAnsi" w:cstheme="minorHAnsi"/>
          <w:color w:val="000000"/>
          <w:sz w:val="22"/>
          <w:szCs w:val="22"/>
        </w:rPr>
        <w:t xml:space="preserve"> and joint pathway students correctly in Student Central for tracking purposes. I have outlined the technical steps below on how this should be done. Please be sure that the following steps are taken to </w:t>
      </w:r>
      <w:r w:rsidR="005A1687" w:rsidRPr="005A1687">
        <w:rPr>
          <w:rFonts w:asciiTheme="minorHAnsi" w:eastAsia="Times New Roman" w:hAnsiTheme="minorHAnsi" w:cstheme="minorHAnsi"/>
          <w:color w:val="000000"/>
          <w:sz w:val="22"/>
          <w:szCs w:val="22"/>
        </w:rPr>
        <w:t>follow</w:t>
      </w:r>
      <w:r w:rsidRPr="005A1687">
        <w:rPr>
          <w:rFonts w:asciiTheme="minorHAnsi" w:eastAsia="Times New Roman" w:hAnsiTheme="minorHAnsi" w:cstheme="minorHAnsi"/>
          <w:color w:val="000000"/>
          <w:sz w:val="22"/>
          <w:szCs w:val="22"/>
        </w:rPr>
        <w:t xml:space="preserve"> the proper tracking protocol.</w:t>
      </w:r>
    </w:p>
    <w:p w14:paraId="7CDA1F74" w14:textId="01F15FD1" w:rsidR="00A2379A" w:rsidRPr="00F254F4" w:rsidRDefault="00322296" w:rsidP="00F21DBA">
      <w:pPr>
        <w:spacing w:before="100" w:beforeAutospacing="1" w:after="100" w:afterAutospacing="1" w:line="276" w:lineRule="auto"/>
        <w:rPr>
          <w:rFonts w:asciiTheme="minorHAnsi" w:eastAsia="Times New Roman" w:hAnsiTheme="minorHAnsi" w:cstheme="minorHAnsi"/>
          <w:color w:val="000000"/>
          <w:sz w:val="22"/>
          <w:szCs w:val="22"/>
          <w:u w:val="single"/>
        </w:rPr>
      </w:pPr>
      <w:r w:rsidRPr="00F254F4">
        <w:rPr>
          <w:rFonts w:asciiTheme="minorHAnsi" w:eastAsia="Times New Roman" w:hAnsiTheme="minorHAnsi" w:cstheme="minorHAnsi"/>
          <w:color w:val="000000"/>
          <w:sz w:val="22"/>
          <w:szCs w:val="22"/>
          <w:u w:val="single"/>
        </w:rPr>
        <w:t xml:space="preserve">Combined </w:t>
      </w:r>
      <w:r w:rsidR="00A2379A" w:rsidRPr="00F254F4">
        <w:rPr>
          <w:rFonts w:asciiTheme="minorHAnsi" w:eastAsia="Times New Roman" w:hAnsiTheme="minorHAnsi" w:cstheme="minorHAnsi"/>
          <w:color w:val="000000"/>
          <w:sz w:val="22"/>
          <w:szCs w:val="22"/>
          <w:u w:val="single"/>
        </w:rPr>
        <w:t>Pathway Tracking</w:t>
      </w:r>
      <w:r w:rsidR="001C60A0" w:rsidRPr="00F254F4">
        <w:rPr>
          <w:rFonts w:asciiTheme="minorHAnsi" w:eastAsia="Times New Roman" w:hAnsiTheme="minorHAnsi" w:cstheme="minorHAnsi"/>
          <w:color w:val="000000"/>
          <w:sz w:val="22"/>
          <w:szCs w:val="22"/>
          <w:u w:val="single"/>
        </w:rPr>
        <w:t xml:space="preserve"> in Student Central</w:t>
      </w:r>
      <w:r w:rsidR="00A2379A" w:rsidRPr="00F254F4">
        <w:rPr>
          <w:rFonts w:asciiTheme="minorHAnsi" w:eastAsia="Times New Roman" w:hAnsiTheme="minorHAnsi" w:cstheme="minorHAnsi"/>
          <w:color w:val="000000"/>
          <w:sz w:val="22"/>
          <w:szCs w:val="22"/>
          <w:u w:val="single"/>
        </w:rPr>
        <w:t>:</w:t>
      </w:r>
    </w:p>
    <w:p w14:paraId="6B4425DF" w14:textId="1D83C754" w:rsidR="00A2379A" w:rsidRPr="005A1687"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lastRenderedPageBreak/>
        <w:t>As soon as it is identified that a student is see</w:t>
      </w:r>
      <w:r w:rsidR="00322296">
        <w:rPr>
          <w:rFonts w:asciiTheme="minorHAnsi" w:hAnsiTheme="minorHAnsi" w:cstheme="minorHAnsi"/>
          <w:color w:val="000000"/>
        </w:rPr>
        <w:t xml:space="preserve">king a combined </w:t>
      </w:r>
      <w:r w:rsidRPr="005A1687">
        <w:rPr>
          <w:rFonts w:asciiTheme="minorHAnsi" w:hAnsiTheme="minorHAnsi" w:cstheme="minorHAnsi"/>
          <w:color w:val="000000"/>
        </w:rPr>
        <w:t xml:space="preserve">pathway, the advising track for Combined Degree should be added in Student Central. </w:t>
      </w:r>
    </w:p>
    <w:p w14:paraId="306DDA44"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This should be added to the student’s current Undergraduate Program/Plan stack.</w:t>
      </w:r>
    </w:p>
    <w:p w14:paraId="015B3F18"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 xml:space="preserve">The Academic Dean’s office should add a row to the Student Program tab similar to adding a second major or changing a major. The Program Action should be PLNC. </w:t>
      </w:r>
    </w:p>
    <w:p w14:paraId="24902DC6"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On the Student Plan tab, a row should be added and the Academic Plan of COMBINEAV should be selected. You must ensure that the plan sequence for this new advising track is not “10”.</w:t>
      </w:r>
    </w:p>
    <w:p w14:paraId="7EF5B4B5" w14:textId="2F3D9384"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Then Save.</w:t>
      </w:r>
    </w:p>
    <w:p w14:paraId="4D8F06CA" w14:textId="41BC01C3" w:rsidR="00A2379A" w:rsidRPr="00F254F4" w:rsidRDefault="00A2379A" w:rsidP="00F21DBA">
      <w:pPr>
        <w:spacing w:before="100" w:beforeAutospacing="1" w:after="100" w:afterAutospacing="1" w:line="276" w:lineRule="auto"/>
        <w:rPr>
          <w:rFonts w:asciiTheme="minorHAnsi" w:eastAsia="Times New Roman" w:hAnsiTheme="minorHAnsi" w:cstheme="minorHAnsi"/>
          <w:color w:val="000000"/>
          <w:sz w:val="22"/>
          <w:szCs w:val="22"/>
          <w:u w:val="single"/>
        </w:rPr>
      </w:pPr>
      <w:r w:rsidRPr="00F254F4">
        <w:rPr>
          <w:rFonts w:asciiTheme="minorHAnsi" w:eastAsia="Times New Roman" w:hAnsiTheme="minorHAnsi" w:cstheme="minorHAnsi"/>
          <w:color w:val="000000"/>
          <w:sz w:val="22"/>
          <w:szCs w:val="22"/>
          <w:u w:val="single"/>
        </w:rPr>
        <w:t>Joint Gradu</w:t>
      </w:r>
      <w:r w:rsidR="005A1687" w:rsidRPr="00F254F4">
        <w:rPr>
          <w:rFonts w:asciiTheme="minorHAnsi" w:eastAsia="Times New Roman" w:hAnsiTheme="minorHAnsi" w:cstheme="minorHAnsi"/>
          <w:color w:val="000000"/>
          <w:sz w:val="22"/>
          <w:szCs w:val="22"/>
          <w:u w:val="single"/>
        </w:rPr>
        <w:t>a</w:t>
      </w:r>
      <w:r w:rsidRPr="00F254F4">
        <w:rPr>
          <w:rFonts w:asciiTheme="minorHAnsi" w:eastAsia="Times New Roman" w:hAnsiTheme="minorHAnsi" w:cstheme="minorHAnsi"/>
          <w:color w:val="000000"/>
          <w:sz w:val="22"/>
          <w:szCs w:val="22"/>
          <w:u w:val="single"/>
        </w:rPr>
        <w:t>te Pathway Tracking</w:t>
      </w:r>
      <w:r w:rsidR="001C60A0" w:rsidRPr="00F254F4">
        <w:rPr>
          <w:rFonts w:asciiTheme="minorHAnsi" w:eastAsia="Times New Roman" w:hAnsiTheme="minorHAnsi" w:cstheme="minorHAnsi"/>
          <w:color w:val="000000"/>
          <w:sz w:val="22"/>
          <w:szCs w:val="22"/>
          <w:u w:val="single"/>
        </w:rPr>
        <w:t xml:space="preserve"> in Student Central</w:t>
      </w:r>
      <w:r w:rsidRPr="00F254F4">
        <w:rPr>
          <w:rFonts w:asciiTheme="minorHAnsi" w:eastAsia="Times New Roman" w:hAnsiTheme="minorHAnsi" w:cstheme="minorHAnsi"/>
          <w:color w:val="000000"/>
          <w:sz w:val="22"/>
          <w:szCs w:val="22"/>
          <w:u w:val="single"/>
        </w:rPr>
        <w:t>:</w:t>
      </w:r>
    </w:p>
    <w:p w14:paraId="03044941" w14:textId="12013197" w:rsidR="00A2379A"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 xml:space="preserve">Joint graduate pathways should have two program/plan stacks active simultaneously with the appropriate joint pathway academic plan code for each. For example, if a student is </w:t>
      </w:r>
      <w:r w:rsidR="005A1687" w:rsidRPr="005A1687">
        <w:rPr>
          <w:rFonts w:asciiTheme="minorHAnsi" w:hAnsiTheme="minorHAnsi" w:cstheme="minorHAnsi"/>
          <w:color w:val="000000"/>
        </w:rPr>
        <w:t>in the</w:t>
      </w:r>
      <w:r w:rsidRPr="005A1687">
        <w:rPr>
          <w:rFonts w:asciiTheme="minorHAnsi" w:hAnsiTheme="minorHAnsi" w:cstheme="minorHAnsi"/>
          <w:color w:val="000000"/>
        </w:rPr>
        <w:t xml:space="preserve"> MSW/JD joint pathway, he/she will have a graduate career program/plan stack and a law program/plan stack. The graduate career will have the Social Work/Law plan and the law career will have the Law/Social Work plan. There are specific joint plan codes for each program. If a student has recently been admitted to a joint graduate pathway and you need the additional program/plan stack created, please email the request to </w:t>
      </w:r>
      <w:hyperlink r:id="rId14" w:history="1">
        <w:r w:rsidRPr="005A1687">
          <w:rPr>
            <w:rStyle w:val="Hyperlink"/>
            <w:rFonts w:asciiTheme="minorHAnsi" w:hAnsiTheme="minorHAnsi" w:cstheme="minorHAnsi"/>
          </w:rPr>
          <w:t>RegistrarProcessing@admin.fsu.edu</w:t>
        </w:r>
      </w:hyperlink>
      <w:r w:rsidRPr="005A1687">
        <w:rPr>
          <w:rFonts w:asciiTheme="minorHAnsi" w:hAnsiTheme="minorHAnsi" w:cstheme="minorHAnsi"/>
          <w:color w:val="000000"/>
        </w:rPr>
        <w:t xml:space="preserve">. </w:t>
      </w:r>
    </w:p>
    <w:p w14:paraId="52D82D3E" w14:textId="4A4C96FD" w:rsidR="00D23788" w:rsidRDefault="00D23788" w:rsidP="00A2379A">
      <w:pPr>
        <w:pStyle w:val="NormalWeb"/>
        <w:spacing w:line="276" w:lineRule="auto"/>
        <w:rPr>
          <w:rFonts w:asciiTheme="minorHAnsi" w:hAnsiTheme="minorHAnsi" w:cstheme="minorHAnsi"/>
          <w:color w:val="000000"/>
        </w:rPr>
      </w:pPr>
    </w:p>
    <w:p w14:paraId="77493E39" w14:textId="319D8812" w:rsid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Please contact James Beck at (</w:t>
      </w:r>
      <w:hyperlink r:id="rId15" w:history="1">
        <w:r w:rsidRPr="00D23788">
          <w:rPr>
            <w:rStyle w:val="Hyperlink"/>
            <w:rFonts w:asciiTheme="minorHAnsi" w:hAnsiTheme="minorHAnsi" w:cstheme="minorHAnsi"/>
          </w:rPr>
          <w:t>jpbeck@fsu.edu</w:t>
        </w:r>
      </w:hyperlink>
      <w:r w:rsidRPr="00D23788">
        <w:rPr>
          <w:rFonts w:asciiTheme="minorHAnsi" w:hAnsiTheme="minorHAnsi" w:cstheme="minorHAnsi"/>
          <w:color w:val="000000"/>
        </w:rPr>
        <w:t xml:space="preserve">) if you have any questions about the policy and the Registrar’s Office if you require assistance in setting up the program plans in Student Central. </w:t>
      </w:r>
    </w:p>
    <w:p w14:paraId="45271B76" w14:textId="5974D987" w:rsidR="00C7490E" w:rsidRDefault="00C7490E" w:rsidP="00A2379A">
      <w:pPr>
        <w:pStyle w:val="NormalWeb"/>
        <w:spacing w:line="276" w:lineRule="auto"/>
        <w:rPr>
          <w:rFonts w:asciiTheme="minorHAnsi" w:hAnsiTheme="minorHAnsi" w:cstheme="minorHAnsi"/>
          <w:color w:val="000000"/>
        </w:rPr>
      </w:pPr>
    </w:p>
    <w:p w14:paraId="31CA08B5" w14:textId="6866C899" w:rsidR="00D23788" w:rsidRPr="00F254F4" w:rsidRDefault="00D23788" w:rsidP="00470192">
      <w:pPr>
        <w:pStyle w:val="NormalWeb"/>
        <w:numPr>
          <w:ilvl w:val="0"/>
          <w:numId w:val="4"/>
        </w:numPr>
        <w:spacing w:line="276" w:lineRule="auto"/>
        <w:rPr>
          <w:rFonts w:asciiTheme="minorHAnsi" w:hAnsiTheme="minorHAnsi" w:cstheme="minorHAnsi"/>
          <w:b/>
          <w:color w:val="000000"/>
          <w:sz w:val="24"/>
          <w:szCs w:val="24"/>
          <w:u w:val="single"/>
        </w:rPr>
      </w:pPr>
      <w:r w:rsidRPr="00F254F4">
        <w:rPr>
          <w:rFonts w:asciiTheme="minorHAnsi" w:hAnsiTheme="minorHAnsi" w:cstheme="minorHAnsi"/>
          <w:b/>
          <w:color w:val="000000"/>
          <w:sz w:val="24"/>
          <w:szCs w:val="24"/>
          <w:u w:val="single"/>
        </w:rPr>
        <w:t>Graduate Certificate Policy:</w:t>
      </w:r>
    </w:p>
    <w:p w14:paraId="4A2A8A3F" w14:textId="72C9F14C" w:rsidR="00D23788" w:rsidRDefault="00D23788" w:rsidP="00D23788">
      <w:pPr>
        <w:pStyle w:val="NormalWeb"/>
        <w:spacing w:line="276" w:lineRule="auto"/>
        <w:rPr>
          <w:rFonts w:asciiTheme="minorHAnsi" w:hAnsiTheme="minorHAnsi" w:cstheme="minorHAnsi"/>
          <w:color w:val="000000"/>
          <w:sz w:val="24"/>
          <w:szCs w:val="24"/>
          <w:u w:val="single"/>
        </w:rPr>
      </w:pPr>
    </w:p>
    <w:p w14:paraId="5D621112" w14:textId="782FA724" w:rsidR="00713861"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u w:val="single"/>
        </w:rPr>
        <w:t>It is imperative that units comply with all aspects of the Certificate Policy, especially the requirement that students apply for admission and be accepted as soon as possible (and prior to completing the second course in the program).</w:t>
      </w:r>
      <w:r w:rsidRPr="00D23788">
        <w:rPr>
          <w:rFonts w:asciiTheme="minorHAnsi" w:hAnsiTheme="minorHAnsi" w:cstheme="minorHAnsi"/>
          <w:color w:val="000000"/>
        </w:rPr>
        <w:t xml:space="preserve"> If a student is accepted into the certificate program, it is the unit’s responsibility thereafter to notify the Registrar’s Office immediately. This is important for tracking and reporting purposes for the university and SACSCOC accreditation. For example, units should not be waiting until a graduate student has reached the final semester and applied for graduation to attempt to admit the student into the certificate program. </w:t>
      </w:r>
    </w:p>
    <w:p w14:paraId="572C11C7" w14:textId="50B2E951" w:rsidR="00713861" w:rsidRDefault="00713861" w:rsidP="00D23788">
      <w:pPr>
        <w:pStyle w:val="NormalWeb"/>
        <w:rPr>
          <w:rFonts w:asciiTheme="minorHAnsi" w:hAnsiTheme="minorHAnsi" w:cstheme="minorHAnsi"/>
          <w:color w:val="000000"/>
        </w:rPr>
      </w:pPr>
    </w:p>
    <w:p w14:paraId="3A9F23E8" w14:textId="1DAFDD54" w:rsidR="00713861" w:rsidRDefault="00713861" w:rsidP="00D23788">
      <w:pPr>
        <w:pStyle w:val="NormalWeb"/>
        <w:rPr>
          <w:rFonts w:asciiTheme="minorHAnsi" w:hAnsiTheme="minorHAnsi" w:cstheme="minorHAnsi"/>
          <w:color w:val="000000"/>
        </w:rPr>
      </w:pPr>
      <w:r>
        <w:rPr>
          <w:rFonts w:asciiTheme="minorHAnsi" w:hAnsiTheme="minorHAnsi" w:cstheme="minorHAnsi"/>
          <w:color w:val="000000"/>
        </w:rPr>
        <w:t xml:space="preserve">*Additionally, </w:t>
      </w:r>
      <w:r w:rsidRPr="00713861">
        <w:rPr>
          <w:rFonts w:asciiTheme="minorHAnsi" w:hAnsiTheme="minorHAnsi" w:cstheme="minorHAnsi"/>
          <w:color w:val="000000"/>
          <w:u w:val="single"/>
        </w:rPr>
        <w:t xml:space="preserve">units need to follow the program of studies that was approved in the proposal. </w:t>
      </w:r>
      <w:r w:rsidRPr="00713861">
        <w:rPr>
          <w:rFonts w:asciiTheme="minorHAnsi" w:hAnsiTheme="minorHAnsi" w:cstheme="minorHAnsi"/>
          <w:color w:val="000000"/>
        </w:rPr>
        <w:t>Please</w:t>
      </w:r>
      <w:r>
        <w:rPr>
          <w:rFonts w:asciiTheme="minorHAnsi" w:hAnsiTheme="minorHAnsi" w:cstheme="minorHAnsi"/>
          <w:color w:val="000000"/>
        </w:rPr>
        <w:t xml:space="preserve"> refer to the matrix that was included in the original proposal paperwork which illustrates the specific required and elective courses that can be counted towards the graduate certificate. </w:t>
      </w:r>
      <w:r w:rsidRPr="00EB6090">
        <w:rPr>
          <w:rFonts w:asciiTheme="minorHAnsi" w:hAnsiTheme="minorHAnsi" w:cstheme="minorHAnsi"/>
          <w:color w:val="000000"/>
        </w:rPr>
        <w:t>Keep in mind, that an undergraduate certificate shall not require the completion of graduate courses.</w:t>
      </w:r>
    </w:p>
    <w:p w14:paraId="2A0C4242" w14:textId="77777777" w:rsidR="00713861" w:rsidRDefault="00713861" w:rsidP="00D23788">
      <w:pPr>
        <w:pStyle w:val="NormalWeb"/>
        <w:rPr>
          <w:rFonts w:asciiTheme="minorHAnsi" w:hAnsiTheme="minorHAnsi" w:cstheme="minorHAnsi"/>
          <w:color w:val="000000"/>
        </w:rPr>
      </w:pPr>
    </w:p>
    <w:p w14:paraId="16E1FC93" w14:textId="4C10453F" w:rsidR="00D23788" w:rsidRP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 xml:space="preserve">The certificate policy can be found on the </w:t>
      </w:r>
      <w:hyperlink r:id="rId16" w:history="1">
        <w:r w:rsidRPr="00322296">
          <w:rPr>
            <w:rStyle w:val="Hyperlink"/>
            <w:rFonts w:asciiTheme="minorHAnsi" w:hAnsiTheme="minorHAnsi" w:cstheme="minorHAnsi"/>
          </w:rPr>
          <w:t xml:space="preserve">Office of Faculty Development and Advancement’s </w:t>
        </w:r>
        <w:r w:rsidR="00322296" w:rsidRPr="00322296">
          <w:rPr>
            <w:rStyle w:val="Hyperlink"/>
            <w:rFonts w:asciiTheme="minorHAnsi" w:hAnsiTheme="minorHAnsi" w:cstheme="minorHAnsi"/>
          </w:rPr>
          <w:t>Website</w:t>
        </w:r>
      </w:hyperlink>
      <w:r w:rsidRPr="00D23788">
        <w:rPr>
          <w:rFonts w:asciiTheme="minorHAnsi" w:hAnsiTheme="minorHAnsi" w:cstheme="minorHAnsi"/>
          <w:color w:val="000000"/>
        </w:rPr>
        <w:t>.</w:t>
      </w:r>
    </w:p>
    <w:p w14:paraId="483AE7F8" w14:textId="77777777" w:rsidR="00D23788" w:rsidRDefault="00D23788" w:rsidP="00D23788">
      <w:pPr>
        <w:pStyle w:val="NormalWeb"/>
        <w:spacing w:line="276" w:lineRule="auto"/>
        <w:rPr>
          <w:rFonts w:asciiTheme="minorHAnsi" w:hAnsiTheme="minorHAnsi" w:cstheme="minorHAnsi"/>
          <w:color w:val="000000"/>
          <w:sz w:val="24"/>
          <w:szCs w:val="24"/>
          <w:u w:val="single"/>
        </w:rPr>
      </w:pPr>
    </w:p>
    <w:p w14:paraId="1AF11244" w14:textId="1B7767BD" w:rsidR="00322296" w:rsidRPr="00F254F4" w:rsidRDefault="00322296" w:rsidP="00322296">
      <w:pPr>
        <w:pStyle w:val="NormalWeb"/>
        <w:numPr>
          <w:ilvl w:val="0"/>
          <w:numId w:val="4"/>
        </w:numPr>
        <w:spacing w:line="276" w:lineRule="auto"/>
        <w:rPr>
          <w:rFonts w:asciiTheme="minorHAnsi" w:hAnsiTheme="minorHAnsi" w:cstheme="minorHAnsi"/>
          <w:b/>
          <w:color w:val="000000"/>
          <w:sz w:val="24"/>
          <w:szCs w:val="24"/>
          <w:u w:val="single"/>
        </w:rPr>
      </w:pPr>
      <w:r w:rsidRPr="00F254F4">
        <w:rPr>
          <w:rFonts w:asciiTheme="minorHAnsi" w:hAnsiTheme="minorHAnsi" w:cstheme="minorHAnsi"/>
          <w:b/>
          <w:color w:val="000000"/>
          <w:sz w:val="24"/>
          <w:szCs w:val="24"/>
          <w:u w:val="single"/>
        </w:rPr>
        <w:t>Dual Deg</w:t>
      </w:r>
      <w:r w:rsidR="00BA3962" w:rsidRPr="00F254F4">
        <w:rPr>
          <w:rFonts w:asciiTheme="minorHAnsi" w:hAnsiTheme="minorHAnsi" w:cstheme="minorHAnsi"/>
          <w:b/>
          <w:color w:val="000000"/>
          <w:sz w:val="24"/>
          <w:szCs w:val="24"/>
          <w:u w:val="single"/>
        </w:rPr>
        <w:t xml:space="preserve">ree and </w:t>
      </w:r>
      <w:r w:rsidRPr="00F254F4">
        <w:rPr>
          <w:rFonts w:asciiTheme="minorHAnsi" w:hAnsiTheme="minorHAnsi" w:cstheme="minorHAnsi"/>
          <w:b/>
          <w:color w:val="000000"/>
          <w:sz w:val="24"/>
          <w:szCs w:val="24"/>
          <w:u w:val="single"/>
        </w:rPr>
        <w:t xml:space="preserve">Extension </w:t>
      </w:r>
      <w:r w:rsidR="00BA3962" w:rsidRPr="00F254F4">
        <w:rPr>
          <w:rFonts w:asciiTheme="minorHAnsi" w:hAnsiTheme="minorHAnsi" w:cstheme="minorHAnsi"/>
          <w:b/>
          <w:color w:val="000000"/>
          <w:sz w:val="24"/>
          <w:szCs w:val="24"/>
          <w:u w:val="single"/>
        </w:rPr>
        <w:t xml:space="preserve">of Time (EOT) </w:t>
      </w:r>
      <w:r w:rsidRPr="00F254F4">
        <w:rPr>
          <w:rFonts w:asciiTheme="minorHAnsi" w:hAnsiTheme="minorHAnsi" w:cstheme="minorHAnsi"/>
          <w:b/>
          <w:color w:val="000000"/>
          <w:sz w:val="24"/>
          <w:szCs w:val="24"/>
          <w:u w:val="single"/>
        </w:rPr>
        <w:t>Request Forms:</w:t>
      </w:r>
    </w:p>
    <w:p w14:paraId="2D566929" w14:textId="77777777" w:rsidR="00322296" w:rsidRDefault="00322296" w:rsidP="00322296">
      <w:pPr>
        <w:pStyle w:val="NormalWeb"/>
        <w:spacing w:line="276" w:lineRule="auto"/>
        <w:rPr>
          <w:rFonts w:asciiTheme="minorHAnsi" w:hAnsiTheme="minorHAnsi" w:cstheme="minorHAnsi"/>
          <w:color w:val="000000"/>
        </w:rPr>
      </w:pPr>
    </w:p>
    <w:p w14:paraId="670D150C" w14:textId="77777777" w:rsidR="00322296"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rPr>
        <w:t>Dual degrees are two degrees earned simultaneously when a graduate student is accepted by both departments/programs and a Dual Enrollment Request Form is approved by the appropriate academic deans and the Dean of the Graduate School. There is no formal relationship between the two-degree program requirements in a dual degree situation.</w:t>
      </w:r>
    </w:p>
    <w:p w14:paraId="7BED4E50" w14:textId="77777777" w:rsidR="00322296" w:rsidRDefault="00322296" w:rsidP="00322296">
      <w:pPr>
        <w:pStyle w:val="NormalWeb"/>
        <w:spacing w:line="276" w:lineRule="auto"/>
        <w:rPr>
          <w:rFonts w:asciiTheme="minorHAnsi" w:hAnsiTheme="minorHAnsi" w:cstheme="minorHAnsi"/>
          <w:color w:val="000000"/>
        </w:rPr>
      </w:pPr>
    </w:p>
    <w:p w14:paraId="59E254E9" w14:textId="5E008E5E" w:rsidR="00322296" w:rsidRPr="00F465AB"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u w:val="single"/>
        </w:rPr>
        <w:t>*As a re</w:t>
      </w:r>
      <w:r w:rsidR="00BA3962">
        <w:rPr>
          <w:rFonts w:asciiTheme="minorHAnsi" w:hAnsiTheme="minorHAnsi" w:cstheme="minorHAnsi"/>
          <w:color w:val="000000"/>
          <w:u w:val="single"/>
        </w:rPr>
        <w:t>minder, Dual Enrollment and</w:t>
      </w:r>
      <w:r w:rsidRPr="00F465AB">
        <w:rPr>
          <w:rFonts w:asciiTheme="minorHAnsi" w:hAnsiTheme="minorHAnsi" w:cstheme="minorHAnsi"/>
          <w:color w:val="000000"/>
          <w:u w:val="single"/>
        </w:rPr>
        <w:t xml:space="preserve"> Extension</w:t>
      </w:r>
      <w:r w:rsidR="00BA3962">
        <w:rPr>
          <w:rFonts w:asciiTheme="minorHAnsi" w:hAnsiTheme="minorHAnsi" w:cstheme="minorHAnsi"/>
          <w:color w:val="000000"/>
          <w:u w:val="single"/>
        </w:rPr>
        <w:t xml:space="preserve"> of Time (EOT)</w:t>
      </w:r>
      <w:r w:rsidRPr="00F465AB">
        <w:rPr>
          <w:rFonts w:asciiTheme="minorHAnsi" w:hAnsiTheme="minorHAnsi" w:cstheme="minorHAnsi"/>
          <w:color w:val="000000"/>
          <w:u w:val="single"/>
        </w:rPr>
        <w:t xml:space="preserve"> Request Forms need to be submitted for review and approval at the proper time.</w:t>
      </w:r>
      <w:r w:rsidRPr="00F465AB">
        <w:rPr>
          <w:rFonts w:asciiTheme="minorHAnsi" w:hAnsiTheme="minorHAnsi" w:cstheme="minorHAnsi"/>
          <w:color w:val="000000"/>
        </w:rPr>
        <w:t xml:space="preserve"> It is not appropriate to wait until the student has reached the final semester and applied for graduation to submit these forms for retroactive approval.  For example, it would not be appro</w:t>
      </w:r>
      <w:r w:rsidR="00EB6090">
        <w:rPr>
          <w:rFonts w:asciiTheme="minorHAnsi" w:hAnsiTheme="minorHAnsi" w:cstheme="minorHAnsi"/>
          <w:color w:val="000000"/>
        </w:rPr>
        <w:t xml:space="preserve">priate to wait until the end of </w:t>
      </w:r>
      <w:proofErr w:type="gramStart"/>
      <w:r w:rsidR="00EB6090">
        <w:rPr>
          <w:rFonts w:asciiTheme="minorHAnsi" w:hAnsiTheme="minorHAnsi" w:cstheme="minorHAnsi"/>
          <w:color w:val="000000"/>
        </w:rPr>
        <w:t>Fall</w:t>
      </w:r>
      <w:proofErr w:type="gramEnd"/>
      <w:r w:rsidR="00EB6090">
        <w:rPr>
          <w:rFonts w:asciiTheme="minorHAnsi" w:hAnsiTheme="minorHAnsi" w:cstheme="minorHAnsi"/>
          <w:color w:val="000000"/>
        </w:rPr>
        <w:t xml:space="preserve"> 2021</w:t>
      </w:r>
      <w:r w:rsidRPr="00F465AB">
        <w:rPr>
          <w:rFonts w:asciiTheme="minorHAnsi" w:hAnsiTheme="minorHAnsi" w:cstheme="minorHAnsi"/>
          <w:color w:val="000000"/>
        </w:rPr>
        <w:t xml:space="preserve"> to submit a dual enrollment or time extension request form for review/approval, if the student actual</w:t>
      </w:r>
      <w:r>
        <w:rPr>
          <w:rFonts w:asciiTheme="minorHAnsi" w:hAnsiTheme="minorHAnsi" w:cstheme="minorHAnsi"/>
          <w:color w:val="000000"/>
        </w:rPr>
        <w:t xml:space="preserve">ly </w:t>
      </w:r>
      <w:r>
        <w:rPr>
          <w:rFonts w:asciiTheme="minorHAnsi" w:hAnsiTheme="minorHAnsi" w:cstheme="minorHAnsi"/>
          <w:color w:val="000000"/>
        </w:rPr>
        <w:lastRenderedPageBreak/>
        <w:t>needed it back in Spring 2018</w:t>
      </w:r>
      <w:r w:rsidRPr="00F465AB">
        <w:rPr>
          <w:rFonts w:asciiTheme="minorHAnsi" w:hAnsiTheme="minorHAnsi" w:cstheme="minorHAnsi"/>
          <w:color w:val="000000"/>
        </w:rPr>
        <w:t xml:space="preserve">. It is imperative that units carefully monitor their graduate students and be sure these forms are submitted at the correct time to ensure proper advisement and avoid any delays in graduation clearance. </w:t>
      </w:r>
    </w:p>
    <w:p w14:paraId="35575936" w14:textId="6663CFA5" w:rsidR="00C60FDE" w:rsidRDefault="00C60FDE" w:rsidP="00C7490E">
      <w:pPr>
        <w:pStyle w:val="NormalWeb"/>
        <w:spacing w:line="276" w:lineRule="auto"/>
        <w:rPr>
          <w:rFonts w:asciiTheme="minorHAnsi" w:hAnsiTheme="minorHAnsi" w:cstheme="minorHAnsi"/>
          <w:color w:val="000000"/>
        </w:rPr>
      </w:pPr>
    </w:p>
    <w:p w14:paraId="31C7CA8A" w14:textId="77777777" w:rsidR="00C60FDE" w:rsidRPr="00C60FDE" w:rsidRDefault="00C60FDE" w:rsidP="00C60FDE">
      <w:pPr>
        <w:pStyle w:val="NormalWeb"/>
        <w:spacing w:line="276" w:lineRule="auto"/>
        <w:rPr>
          <w:rFonts w:asciiTheme="minorHAnsi" w:hAnsiTheme="minorHAnsi" w:cstheme="minorHAnsi"/>
          <w:color w:val="000000"/>
        </w:rPr>
      </w:pPr>
      <w:bookmarkStart w:id="1" w:name="_MailAutoSig"/>
      <w:r w:rsidRPr="00C60FDE">
        <w:rPr>
          <w:rFonts w:asciiTheme="minorHAnsi" w:hAnsiTheme="minorHAnsi" w:cstheme="minorHAnsi"/>
          <w:color w:val="000000"/>
        </w:rPr>
        <w:t xml:space="preserve">All the best, </w:t>
      </w:r>
    </w:p>
    <w:p w14:paraId="58B1CF72" w14:textId="77777777" w:rsidR="00C60FDE" w:rsidRPr="00C60FDE" w:rsidRDefault="00C60FDE" w:rsidP="00C60FDE">
      <w:pPr>
        <w:pStyle w:val="NormalWeb"/>
        <w:spacing w:line="276" w:lineRule="auto"/>
        <w:rPr>
          <w:rFonts w:asciiTheme="minorHAnsi" w:hAnsiTheme="minorHAnsi" w:cstheme="minorHAnsi"/>
          <w:color w:val="000000"/>
        </w:rPr>
      </w:pPr>
    </w:p>
    <w:p w14:paraId="387034E9"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James Beck</w:t>
      </w:r>
    </w:p>
    <w:p w14:paraId="43AAA91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Graduate Policy Program Coordinator</w:t>
      </w:r>
    </w:p>
    <w:p w14:paraId="05256DB0"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Florida State University</w:t>
      </w:r>
    </w:p>
    <w:p w14:paraId="07EDB15D"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The Graduate School</w:t>
      </w:r>
    </w:p>
    <w:p w14:paraId="44B9E7A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(P) (850) 644-3501</w:t>
      </w:r>
    </w:p>
    <w:p w14:paraId="2AF87AE3"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314 Westcott Building</w:t>
      </w:r>
    </w:p>
    <w:p w14:paraId="198F170E" w14:textId="77777777" w:rsidR="00C60FDE" w:rsidRPr="00C60FDE" w:rsidRDefault="00AD795D" w:rsidP="00C60FDE">
      <w:pPr>
        <w:pStyle w:val="NormalWeb"/>
        <w:spacing w:line="276" w:lineRule="auto"/>
        <w:rPr>
          <w:rFonts w:asciiTheme="minorHAnsi" w:hAnsiTheme="minorHAnsi" w:cstheme="minorHAnsi"/>
          <w:color w:val="000000"/>
        </w:rPr>
      </w:pPr>
      <w:hyperlink r:id="rId17" w:history="1">
        <w:r w:rsidR="00C60FDE" w:rsidRPr="00C60FDE">
          <w:rPr>
            <w:rStyle w:val="Hyperlink"/>
            <w:rFonts w:asciiTheme="minorHAnsi" w:hAnsiTheme="minorHAnsi" w:cstheme="minorHAnsi"/>
          </w:rPr>
          <w:t>jpbeck@fsu.edu</w:t>
        </w:r>
      </w:hyperlink>
      <w:r w:rsidR="00C60FDE" w:rsidRPr="00C60FDE">
        <w:rPr>
          <w:rFonts w:asciiTheme="minorHAnsi" w:hAnsiTheme="minorHAnsi" w:cstheme="minorHAnsi"/>
          <w:color w:val="000000"/>
        </w:rPr>
        <w:t xml:space="preserve"> </w:t>
      </w:r>
      <w:bookmarkEnd w:id="1"/>
    </w:p>
    <w:p w14:paraId="53A9FE16" w14:textId="77777777" w:rsidR="00C60FDE" w:rsidRPr="00C7490E" w:rsidRDefault="00C60FDE" w:rsidP="00C7490E">
      <w:pPr>
        <w:pStyle w:val="NormalWeb"/>
        <w:spacing w:line="276" w:lineRule="auto"/>
        <w:rPr>
          <w:rFonts w:asciiTheme="minorHAnsi" w:hAnsiTheme="minorHAnsi" w:cstheme="minorHAnsi"/>
          <w:color w:val="000000"/>
        </w:rPr>
      </w:pPr>
    </w:p>
    <w:sectPr w:rsidR="00C60FDE" w:rsidRPr="00C7490E">
      <w:footerReference w:type="first" r:id="rId18"/>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2E1F" w14:textId="77777777" w:rsidR="00AD795D" w:rsidRDefault="00AD795D">
      <w:r>
        <w:separator/>
      </w:r>
    </w:p>
  </w:endnote>
  <w:endnote w:type="continuationSeparator" w:id="0">
    <w:p w14:paraId="1A35F504" w14:textId="77777777" w:rsidR="00AD795D" w:rsidRDefault="00AD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5D63" w14:textId="4953B39F" w:rsidR="00B10A90" w:rsidRPr="00087002" w:rsidRDefault="00B10A90">
    <w:pPr>
      <w:pStyle w:val="Footer"/>
      <w:jc w:val="center"/>
      <w:rPr>
        <w:rFonts w:ascii="Cochin" w:hAnsi="Cochi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AC13" w14:textId="77777777" w:rsidR="00AD795D" w:rsidRDefault="00AD795D">
      <w:r>
        <w:separator/>
      </w:r>
    </w:p>
  </w:footnote>
  <w:footnote w:type="continuationSeparator" w:id="0">
    <w:p w14:paraId="36411987" w14:textId="77777777" w:rsidR="00AD795D" w:rsidRDefault="00AD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B7B"/>
    <w:multiLevelType w:val="hybridMultilevel"/>
    <w:tmpl w:val="3ABCC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3F34F7"/>
    <w:multiLevelType w:val="multilevel"/>
    <w:tmpl w:val="6894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72868"/>
    <w:multiLevelType w:val="hybridMultilevel"/>
    <w:tmpl w:val="B46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9D6"/>
    <w:multiLevelType w:val="hybridMultilevel"/>
    <w:tmpl w:val="CC9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269EA"/>
    <w:multiLevelType w:val="hybridMultilevel"/>
    <w:tmpl w:val="2ABCD8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193"/>
    <w:multiLevelType w:val="hybridMultilevel"/>
    <w:tmpl w:val="6B4009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C919B4"/>
    <w:multiLevelType w:val="hybridMultilevel"/>
    <w:tmpl w:val="085A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7BE6"/>
    <w:multiLevelType w:val="hybridMultilevel"/>
    <w:tmpl w:val="DFD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4145E"/>
    <w:multiLevelType w:val="hybridMultilevel"/>
    <w:tmpl w:val="04603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51810"/>
    <w:multiLevelType w:val="hybridMultilevel"/>
    <w:tmpl w:val="92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5298D"/>
    <w:multiLevelType w:val="hybridMultilevel"/>
    <w:tmpl w:val="7F185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676A6"/>
    <w:multiLevelType w:val="hybridMultilevel"/>
    <w:tmpl w:val="0270E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523E3A"/>
    <w:multiLevelType w:val="hybridMultilevel"/>
    <w:tmpl w:val="CA00E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436A1B"/>
    <w:multiLevelType w:val="hybridMultilevel"/>
    <w:tmpl w:val="9CDAD74A"/>
    <w:lvl w:ilvl="0" w:tplc="F19C7954">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4941"/>
    <w:multiLevelType w:val="hybridMultilevel"/>
    <w:tmpl w:val="FDC8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612771"/>
    <w:multiLevelType w:val="hybridMultilevel"/>
    <w:tmpl w:val="95EE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975520"/>
    <w:multiLevelType w:val="hybridMultilevel"/>
    <w:tmpl w:val="063CA5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C033E3"/>
    <w:multiLevelType w:val="multilevel"/>
    <w:tmpl w:val="9F9A6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CF3D59"/>
    <w:multiLevelType w:val="hybridMultilevel"/>
    <w:tmpl w:val="7F3206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005012"/>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C933A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5E31E0"/>
    <w:multiLevelType w:val="hybridMultilevel"/>
    <w:tmpl w:val="5CA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6DC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010141"/>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5E7D71"/>
    <w:multiLevelType w:val="hybridMultilevel"/>
    <w:tmpl w:val="67940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B6784"/>
    <w:multiLevelType w:val="hybridMultilevel"/>
    <w:tmpl w:val="DA8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C43BE"/>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8FD0459"/>
    <w:multiLevelType w:val="hybridMultilevel"/>
    <w:tmpl w:val="E44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9202A"/>
    <w:multiLevelType w:val="multilevel"/>
    <w:tmpl w:val="56624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BC3B86"/>
    <w:multiLevelType w:val="multilevel"/>
    <w:tmpl w:val="9EFA7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DF43DA"/>
    <w:multiLevelType w:val="hybridMultilevel"/>
    <w:tmpl w:val="0CD6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349F0"/>
    <w:multiLevelType w:val="hybridMultilevel"/>
    <w:tmpl w:val="65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0386C"/>
    <w:multiLevelType w:val="hybridMultilevel"/>
    <w:tmpl w:val="9B6E3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303D70"/>
    <w:multiLevelType w:val="multilevel"/>
    <w:tmpl w:val="401E1F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7"/>
  </w:num>
  <w:num w:numId="11">
    <w:abstractNumId w:val="21"/>
  </w:num>
  <w:num w:numId="12">
    <w:abstractNumId w:val="9"/>
  </w:num>
  <w:num w:numId="13">
    <w:abstractNumId w:val="31"/>
  </w:num>
  <w:num w:numId="14">
    <w:abstractNumId w:val="11"/>
  </w:num>
  <w:num w:numId="15">
    <w:abstractNumId w:val="6"/>
  </w:num>
  <w:num w:numId="16">
    <w:abstractNumId w:val="12"/>
  </w:num>
  <w:num w:numId="17">
    <w:abstractNumId w:val="13"/>
  </w:num>
  <w:num w:numId="18">
    <w:abstractNumId w:val="24"/>
  </w:num>
  <w:num w:numId="19">
    <w:abstractNumId w:val="7"/>
  </w:num>
  <w:num w:numId="20">
    <w:abstractNumId w:val="25"/>
  </w:num>
  <w:num w:numId="21">
    <w:abstractNumId w:val="30"/>
  </w:num>
  <w:num w:numId="22">
    <w:abstractNumId w:val="3"/>
  </w:num>
  <w:num w:numId="23">
    <w:abstractNumId w:val="23"/>
  </w:num>
  <w:num w:numId="24">
    <w:abstractNumId w:val="14"/>
  </w:num>
  <w:num w:numId="25">
    <w:abstractNumId w:val="19"/>
  </w:num>
  <w:num w:numId="26">
    <w:abstractNumId w:val="10"/>
  </w:num>
  <w:num w:numId="27">
    <w:abstractNumId w:val="22"/>
  </w:num>
  <w:num w:numId="28">
    <w:abstractNumId w:val="8"/>
  </w:num>
  <w:num w:numId="29">
    <w:abstractNumId w:val="5"/>
  </w:num>
  <w:num w:numId="30">
    <w:abstractNumId w:val="32"/>
  </w:num>
  <w:num w:numId="31">
    <w:abstractNumId w:val="18"/>
  </w:num>
  <w:num w:numId="32">
    <w:abstractNumId w:val="0"/>
  </w:num>
  <w:num w:numId="33">
    <w:abstractNumId w:val="16"/>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60"/>
    <w:rsid w:val="00031EBC"/>
    <w:rsid w:val="00036078"/>
    <w:rsid w:val="00055E22"/>
    <w:rsid w:val="00065AAA"/>
    <w:rsid w:val="0007262F"/>
    <w:rsid w:val="000867E9"/>
    <w:rsid w:val="00087002"/>
    <w:rsid w:val="000D1F5D"/>
    <w:rsid w:val="000D774A"/>
    <w:rsid w:val="000E7E4D"/>
    <w:rsid w:val="00112F92"/>
    <w:rsid w:val="001242FB"/>
    <w:rsid w:val="001270C4"/>
    <w:rsid w:val="00163663"/>
    <w:rsid w:val="0017509A"/>
    <w:rsid w:val="0018179F"/>
    <w:rsid w:val="001B2258"/>
    <w:rsid w:val="001B514E"/>
    <w:rsid w:val="001C60A0"/>
    <w:rsid w:val="00210B42"/>
    <w:rsid w:val="00212822"/>
    <w:rsid w:val="002678F0"/>
    <w:rsid w:val="002A4B5D"/>
    <w:rsid w:val="002A7923"/>
    <w:rsid w:val="002C6379"/>
    <w:rsid w:val="002D1B73"/>
    <w:rsid w:val="002E706D"/>
    <w:rsid w:val="002F2A33"/>
    <w:rsid w:val="003067BF"/>
    <w:rsid w:val="00322296"/>
    <w:rsid w:val="003245B3"/>
    <w:rsid w:val="00351676"/>
    <w:rsid w:val="00366004"/>
    <w:rsid w:val="00406F4E"/>
    <w:rsid w:val="0042199A"/>
    <w:rsid w:val="00435FAA"/>
    <w:rsid w:val="00437DB6"/>
    <w:rsid w:val="004413D9"/>
    <w:rsid w:val="004576EA"/>
    <w:rsid w:val="00470192"/>
    <w:rsid w:val="004740C8"/>
    <w:rsid w:val="004766DE"/>
    <w:rsid w:val="004839BD"/>
    <w:rsid w:val="004B08BF"/>
    <w:rsid w:val="004C776D"/>
    <w:rsid w:val="004F6EE2"/>
    <w:rsid w:val="00500EA1"/>
    <w:rsid w:val="0052211F"/>
    <w:rsid w:val="00572520"/>
    <w:rsid w:val="005A1687"/>
    <w:rsid w:val="005B2B9D"/>
    <w:rsid w:val="00605CCF"/>
    <w:rsid w:val="00624716"/>
    <w:rsid w:val="00691139"/>
    <w:rsid w:val="006D1DFA"/>
    <w:rsid w:val="006D22BE"/>
    <w:rsid w:val="006D4B8F"/>
    <w:rsid w:val="006E209A"/>
    <w:rsid w:val="0070188B"/>
    <w:rsid w:val="00702BC2"/>
    <w:rsid w:val="00713861"/>
    <w:rsid w:val="007422B8"/>
    <w:rsid w:val="0078001C"/>
    <w:rsid w:val="007A3FA9"/>
    <w:rsid w:val="007B4B34"/>
    <w:rsid w:val="007C4AC8"/>
    <w:rsid w:val="007D43DC"/>
    <w:rsid w:val="00840802"/>
    <w:rsid w:val="00897A13"/>
    <w:rsid w:val="008A16AE"/>
    <w:rsid w:val="008C1102"/>
    <w:rsid w:val="008E068F"/>
    <w:rsid w:val="00932E3A"/>
    <w:rsid w:val="00933C89"/>
    <w:rsid w:val="00944C31"/>
    <w:rsid w:val="009462EE"/>
    <w:rsid w:val="00946DF3"/>
    <w:rsid w:val="009A6A8D"/>
    <w:rsid w:val="009B27C7"/>
    <w:rsid w:val="009B66B2"/>
    <w:rsid w:val="009C35CC"/>
    <w:rsid w:val="009C3DEA"/>
    <w:rsid w:val="009D781B"/>
    <w:rsid w:val="009E48C0"/>
    <w:rsid w:val="00A228E7"/>
    <w:rsid w:val="00A2379A"/>
    <w:rsid w:val="00A314C4"/>
    <w:rsid w:val="00A63D60"/>
    <w:rsid w:val="00A97790"/>
    <w:rsid w:val="00AD795D"/>
    <w:rsid w:val="00B0383B"/>
    <w:rsid w:val="00B10A90"/>
    <w:rsid w:val="00B16600"/>
    <w:rsid w:val="00B61968"/>
    <w:rsid w:val="00B831BA"/>
    <w:rsid w:val="00B83722"/>
    <w:rsid w:val="00BA00E5"/>
    <w:rsid w:val="00BA3962"/>
    <w:rsid w:val="00BB6B51"/>
    <w:rsid w:val="00BC34A4"/>
    <w:rsid w:val="00BD70B5"/>
    <w:rsid w:val="00C03367"/>
    <w:rsid w:val="00C077CA"/>
    <w:rsid w:val="00C12767"/>
    <w:rsid w:val="00C304E2"/>
    <w:rsid w:val="00C329FE"/>
    <w:rsid w:val="00C60FDE"/>
    <w:rsid w:val="00C746DC"/>
    <w:rsid w:val="00C7490E"/>
    <w:rsid w:val="00C83D50"/>
    <w:rsid w:val="00CC553E"/>
    <w:rsid w:val="00CD2154"/>
    <w:rsid w:val="00CD41F1"/>
    <w:rsid w:val="00D11D30"/>
    <w:rsid w:val="00D23788"/>
    <w:rsid w:val="00D24E26"/>
    <w:rsid w:val="00D3638E"/>
    <w:rsid w:val="00D675C0"/>
    <w:rsid w:val="00D716DF"/>
    <w:rsid w:val="00D9560E"/>
    <w:rsid w:val="00E164D7"/>
    <w:rsid w:val="00E25492"/>
    <w:rsid w:val="00E25CDB"/>
    <w:rsid w:val="00E2710E"/>
    <w:rsid w:val="00E64A06"/>
    <w:rsid w:val="00E82525"/>
    <w:rsid w:val="00E84D51"/>
    <w:rsid w:val="00EA3FC2"/>
    <w:rsid w:val="00EA79D6"/>
    <w:rsid w:val="00EB6090"/>
    <w:rsid w:val="00EE4150"/>
    <w:rsid w:val="00F066CA"/>
    <w:rsid w:val="00F21DBA"/>
    <w:rsid w:val="00F254F4"/>
    <w:rsid w:val="00F25C96"/>
    <w:rsid w:val="00F3144D"/>
    <w:rsid w:val="00F331D0"/>
    <w:rsid w:val="00F41616"/>
    <w:rsid w:val="00F41B88"/>
    <w:rsid w:val="00F44903"/>
    <w:rsid w:val="00F465AB"/>
    <w:rsid w:val="00FA1B22"/>
    <w:rsid w:val="00FB5A43"/>
    <w:rsid w:val="00FE21A4"/>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17B67"/>
  <w15:docId w15:val="{31D45E9D-7E6B-43B0-8E12-9C336F9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uiPriority w:val="34"/>
    <w:qFormat/>
    <w:rsid w:val="00B16600"/>
    <w:pPr>
      <w:ind w:left="720"/>
      <w:contextualSpacing/>
    </w:pPr>
  </w:style>
  <w:style w:type="character" w:styleId="Hyperlink">
    <w:name w:val="Hyperlink"/>
    <w:basedOn w:val="DefaultParagraphFont"/>
    <w:uiPriority w:val="99"/>
    <w:unhideWhenUsed/>
    <w:rsid w:val="00B16600"/>
    <w:rPr>
      <w:color w:val="0563C1"/>
      <w:u w:val="single"/>
    </w:rPr>
  </w:style>
  <w:style w:type="paragraph" w:customStyle="1" w:styleId="pbodytext">
    <w:name w:val="pbodytext"/>
    <w:basedOn w:val="Normal"/>
    <w:rsid w:val="00CD2154"/>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2379A"/>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D9560E"/>
    <w:rPr>
      <w:color w:val="605E5C"/>
      <w:shd w:val="clear" w:color="auto" w:fill="E1DFDD"/>
    </w:rPr>
  </w:style>
  <w:style w:type="character" w:styleId="FollowedHyperlink">
    <w:name w:val="FollowedHyperlink"/>
    <w:basedOn w:val="DefaultParagraphFont"/>
    <w:semiHidden/>
    <w:unhideWhenUsed/>
    <w:rsid w:val="00713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1420">
      <w:bodyDiv w:val="1"/>
      <w:marLeft w:val="0"/>
      <w:marRight w:val="0"/>
      <w:marTop w:val="0"/>
      <w:marBottom w:val="0"/>
      <w:divBdr>
        <w:top w:val="none" w:sz="0" w:space="0" w:color="auto"/>
        <w:left w:val="none" w:sz="0" w:space="0" w:color="auto"/>
        <w:bottom w:val="none" w:sz="0" w:space="0" w:color="auto"/>
        <w:right w:val="none" w:sz="0" w:space="0" w:color="auto"/>
      </w:divBdr>
    </w:div>
    <w:div w:id="519011552">
      <w:bodyDiv w:val="1"/>
      <w:marLeft w:val="0"/>
      <w:marRight w:val="0"/>
      <w:marTop w:val="0"/>
      <w:marBottom w:val="0"/>
      <w:divBdr>
        <w:top w:val="none" w:sz="0" w:space="0" w:color="auto"/>
        <w:left w:val="none" w:sz="0" w:space="0" w:color="auto"/>
        <w:bottom w:val="none" w:sz="0" w:space="0" w:color="auto"/>
        <w:right w:val="none" w:sz="0" w:space="0" w:color="auto"/>
      </w:divBdr>
    </w:div>
    <w:div w:id="627786838">
      <w:bodyDiv w:val="1"/>
      <w:marLeft w:val="0"/>
      <w:marRight w:val="0"/>
      <w:marTop w:val="0"/>
      <w:marBottom w:val="0"/>
      <w:divBdr>
        <w:top w:val="none" w:sz="0" w:space="0" w:color="auto"/>
        <w:left w:val="none" w:sz="0" w:space="0" w:color="auto"/>
        <w:bottom w:val="none" w:sz="0" w:space="0" w:color="auto"/>
        <w:right w:val="none" w:sz="0" w:space="0" w:color="auto"/>
      </w:divBdr>
    </w:div>
    <w:div w:id="778914252">
      <w:bodyDiv w:val="1"/>
      <w:marLeft w:val="0"/>
      <w:marRight w:val="0"/>
      <w:marTop w:val="0"/>
      <w:marBottom w:val="0"/>
      <w:divBdr>
        <w:top w:val="none" w:sz="0" w:space="0" w:color="auto"/>
        <w:left w:val="none" w:sz="0" w:space="0" w:color="auto"/>
        <w:bottom w:val="none" w:sz="0" w:space="0" w:color="auto"/>
        <w:right w:val="none" w:sz="0" w:space="0" w:color="auto"/>
      </w:divBdr>
    </w:div>
    <w:div w:id="1256859875">
      <w:bodyDiv w:val="1"/>
      <w:marLeft w:val="0"/>
      <w:marRight w:val="0"/>
      <w:marTop w:val="0"/>
      <w:marBottom w:val="0"/>
      <w:divBdr>
        <w:top w:val="none" w:sz="0" w:space="0" w:color="auto"/>
        <w:left w:val="none" w:sz="0" w:space="0" w:color="auto"/>
        <w:bottom w:val="none" w:sz="0" w:space="0" w:color="auto"/>
        <w:right w:val="none" w:sz="0" w:space="0" w:color="auto"/>
      </w:divBdr>
    </w:div>
    <w:div w:id="1285577747">
      <w:bodyDiv w:val="1"/>
      <w:marLeft w:val="0"/>
      <w:marRight w:val="0"/>
      <w:marTop w:val="0"/>
      <w:marBottom w:val="0"/>
      <w:divBdr>
        <w:top w:val="none" w:sz="0" w:space="0" w:color="auto"/>
        <w:left w:val="none" w:sz="0" w:space="0" w:color="auto"/>
        <w:bottom w:val="none" w:sz="0" w:space="0" w:color="auto"/>
        <w:right w:val="none" w:sz="0" w:space="0" w:color="auto"/>
      </w:divBdr>
    </w:div>
    <w:div w:id="1472794489">
      <w:bodyDiv w:val="1"/>
      <w:marLeft w:val="0"/>
      <w:marRight w:val="0"/>
      <w:marTop w:val="0"/>
      <w:marBottom w:val="0"/>
      <w:divBdr>
        <w:top w:val="none" w:sz="0" w:space="0" w:color="auto"/>
        <w:left w:val="none" w:sz="0" w:space="0" w:color="auto"/>
        <w:bottom w:val="none" w:sz="0" w:space="0" w:color="auto"/>
        <w:right w:val="none" w:sz="0" w:space="0" w:color="auto"/>
      </w:divBdr>
    </w:div>
    <w:div w:id="1829587666">
      <w:bodyDiv w:val="1"/>
      <w:marLeft w:val="0"/>
      <w:marRight w:val="0"/>
      <w:marTop w:val="0"/>
      <w:marBottom w:val="0"/>
      <w:divBdr>
        <w:top w:val="none" w:sz="0" w:space="0" w:color="auto"/>
        <w:left w:val="none" w:sz="0" w:space="0" w:color="auto"/>
        <w:bottom w:val="none" w:sz="0" w:space="0" w:color="auto"/>
        <w:right w:val="none" w:sz="0" w:space="0" w:color="auto"/>
      </w:divBdr>
    </w:div>
    <w:div w:id="20164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pbeck@fs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staff.gradschool.fsu.edu/caslogin" TargetMode="External"/><Relationship Id="rId17" Type="http://schemas.openxmlformats.org/officeDocument/2006/relationships/hyperlink" Target="mailto:jpbeck@fsu.edu" TargetMode="External"/><Relationship Id="rId2" Type="http://schemas.openxmlformats.org/officeDocument/2006/relationships/numbering" Target="numbering.xml"/><Relationship Id="rId16" Type="http://schemas.openxmlformats.org/officeDocument/2006/relationships/hyperlink" Target="https://regulations.fsu.edu/sites/g/files/upcbnu486/files/policies/fda/FSU%20Policy%203A-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gradschool.fsu.edu/" TargetMode="External"/><Relationship Id="rId5" Type="http://schemas.openxmlformats.org/officeDocument/2006/relationships/webSettings" Target="webSettings.xml"/><Relationship Id="rId15" Type="http://schemas.openxmlformats.org/officeDocument/2006/relationships/hyperlink" Target="mailto:jpbeck@fsu.edu" TargetMode="External"/><Relationship Id="rId10" Type="http://schemas.openxmlformats.org/officeDocument/2006/relationships/hyperlink" Target="https://faculty-staff.gradschool.fsu.edu/caslo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8C9E.16F9AD50" TargetMode="External"/><Relationship Id="rId14" Type="http://schemas.openxmlformats.org/officeDocument/2006/relationships/hyperlink" Target="mailto:RegistrarProcessing@admin.f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A5ED6F-861F-4999-8662-ED34515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302</TotalTime>
  <Pages>5</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14423</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32</cp:revision>
  <cp:lastPrinted>2007-11-30T15:15:00Z</cp:lastPrinted>
  <dcterms:created xsi:type="dcterms:W3CDTF">2019-04-15T19:48:00Z</dcterms:created>
  <dcterms:modified xsi:type="dcterms:W3CDTF">2021-05-04T13:09:00Z</dcterms:modified>
</cp:coreProperties>
</file>