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0E" w:rsidRDefault="00434B0E" w:rsidP="0045148A">
      <w:pPr>
        <w:spacing w:after="0" w:line="240" w:lineRule="auto"/>
        <w:rPr>
          <w:rFonts w:cstheme="minorHAnsi"/>
          <w:sz w:val="24"/>
          <w:szCs w:val="24"/>
          <w:u w:val="single"/>
        </w:rPr>
      </w:pPr>
    </w:p>
    <w:p w:rsidR="00202773" w:rsidRDefault="00202773" w:rsidP="00434B0E">
      <w:pPr>
        <w:spacing w:after="0" w:line="240" w:lineRule="auto"/>
        <w:jc w:val="center"/>
        <w:rPr>
          <w:rFonts w:cstheme="minorHAnsi"/>
          <w:sz w:val="24"/>
          <w:szCs w:val="24"/>
          <w:u w:val="single"/>
        </w:rPr>
      </w:pPr>
      <w:r>
        <w:rPr>
          <w:rFonts w:cstheme="minorHAnsi"/>
          <w:sz w:val="24"/>
          <w:szCs w:val="24"/>
          <w:u w:val="single"/>
        </w:rPr>
        <w:t>Academic Dismissal Policy</w:t>
      </w:r>
    </w:p>
    <w:p w:rsidR="002E22B9" w:rsidRPr="00434B0E" w:rsidRDefault="00202773" w:rsidP="00202773">
      <w:pPr>
        <w:spacing w:after="0" w:line="240" w:lineRule="auto"/>
        <w:rPr>
          <w:rFonts w:cstheme="minorHAnsi"/>
          <w:sz w:val="24"/>
          <w:szCs w:val="24"/>
          <w:u w:val="single"/>
        </w:rPr>
      </w:pPr>
      <w:r>
        <w:rPr>
          <w:rFonts w:cstheme="minorHAnsi"/>
          <w:sz w:val="24"/>
          <w:szCs w:val="24"/>
          <w:u w:val="single"/>
        </w:rPr>
        <w:t xml:space="preserve">Discussion: </w:t>
      </w:r>
      <w:r w:rsidRPr="00202773">
        <w:rPr>
          <w:rFonts w:cstheme="minorHAnsi"/>
          <w:sz w:val="24"/>
          <w:szCs w:val="24"/>
        </w:rPr>
        <w:t xml:space="preserve">After deliberation, it was decided that a minor amendment needed to be made to the </w:t>
      </w:r>
      <w:r>
        <w:rPr>
          <w:rFonts w:cstheme="minorHAnsi"/>
          <w:sz w:val="24"/>
          <w:szCs w:val="24"/>
        </w:rPr>
        <w:t xml:space="preserve">academic dismissal </w:t>
      </w:r>
      <w:bookmarkStart w:id="0" w:name="_GoBack"/>
      <w:bookmarkEnd w:id="0"/>
      <w:r w:rsidRPr="00202773">
        <w:rPr>
          <w:rFonts w:cstheme="minorHAnsi"/>
          <w:sz w:val="24"/>
          <w:szCs w:val="24"/>
        </w:rPr>
        <w:t xml:space="preserve">policy which notes that either the major professor or department chair/director may petition the dean for an exception for an additional probationary semester for a student. This was agreed upon as some graduate students (i.e., master’s students) may not have a major professor. </w:t>
      </w:r>
      <w:r w:rsidR="00434B0E">
        <w:rPr>
          <w:rFonts w:cstheme="minorHAnsi"/>
          <w:sz w:val="24"/>
          <w:szCs w:val="24"/>
          <w:u w:val="single"/>
        </w:rPr>
        <w:br/>
      </w:r>
    </w:p>
    <w:p w:rsidR="00202773" w:rsidRPr="009254E1" w:rsidRDefault="00202773" w:rsidP="00202773">
      <w:pPr>
        <w:pStyle w:val="Pa4"/>
        <w:ind w:left="240" w:firstLine="480"/>
        <w:jc w:val="both"/>
        <w:rPr>
          <w:rFonts w:ascii="Calibri" w:hAnsi="Calibri" w:cs="Calibri"/>
          <w:b/>
          <w:color w:val="221E1F"/>
          <w:sz w:val="22"/>
          <w:szCs w:val="22"/>
        </w:rPr>
      </w:pPr>
      <w:r w:rsidRPr="009254E1">
        <w:rPr>
          <w:rFonts w:ascii="Calibri" w:hAnsi="Calibri" w:cs="Calibri"/>
          <w:b/>
          <w:color w:val="221E1F"/>
          <w:sz w:val="22"/>
          <w:szCs w:val="22"/>
        </w:rPr>
        <w:t xml:space="preserve">The University reserves the right to exclude at any time a student whose conduct is deemed improper or prejudicial to the interest of the University community or whose academic performance is substandard, regardless of GPA. </w:t>
      </w:r>
    </w:p>
    <w:p w:rsidR="00202773" w:rsidRPr="009254E1" w:rsidRDefault="00202773" w:rsidP="00202773">
      <w:pPr>
        <w:pStyle w:val="Pa4"/>
        <w:ind w:left="240" w:firstLine="480"/>
        <w:jc w:val="both"/>
        <w:rPr>
          <w:rFonts w:ascii="Calibri" w:hAnsi="Calibri" w:cs="Calibri"/>
          <w:b/>
          <w:color w:val="221E1F"/>
          <w:sz w:val="22"/>
          <w:szCs w:val="22"/>
        </w:rPr>
      </w:pPr>
      <w:r w:rsidRPr="009254E1">
        <w:rPr>
          <w:rFonts w:ascii="Calibri" w:hAnsi="Calibri" w:cs="Calibri"/>
          <w:b/>
          <w:color w:val="221E1F"/>
          <w:sz w:val="22"/>
          <w:szCs w:val="22"/>
        </w:rPr>
        <w:t>A graduate student, excluding College of Law students and MD candidates in the College of Medicine, whose cumulative grade point average for gradu</w:t>
      </w:r>
      <w:r w:rsidRPr="009254E1">
        <w:rPr>
          <w:rFonts w:ascii="Calibri" w:hAnsi="Calibri" w:cs="Calibri"/>
          <w:b/>
          <w:color w:val="221E1F"/>
          <w:sz w:val="22"/>
          <w:szCs w:val="22"/>
        </w:rPr>
        <w:softHyphen/>
        <w:t xml:space="preserve">ate courses (5000 and above) taken at Florida State University falls below 3.0 at the end of a term (not counting courses for which “S” or “U” grades may be given) will be considered not in good standing by the University and will be placed on academic probation. If a 3.0 cumulative grade point average is not attained by the end of the next full term of enrollment, the student will be placed on academic dismissal. Academic dismissal constitutes a separation of the student from the University for academic reasons. Students on dismissal will not be permitted to register for graduate study, including registering as a non-degree student. However, at the time of dismissal, the </w:t>
      </w:r>
      <w:r w:rsidRPr="00202773">
        <w:rPr>
          <w:rFonts w:ascii="Calibri" w:hAnsi="Calibri" w:cs="Calibri"/>
          <w:b/>
          <w:color w:val="221E1F"/>
          <w:sz w:val="22"/>
          <w:szCs w:val="22"/>
          <w:highlight w:val="yellow"/>
          <w:u w:val="single"/>
        </w:rPr>
        <w:t>major professor or department chair/director</w:t>
      </w:r>
      <w:r w:rsidRPr="009254E1">
        <w:rPr>
          <w:rFonts w:ascii="Calibri" w:hAnsi="Calibri" w:cs="Calibri"/>
          <w:b/>
          <w:color w:val="221E1F"/>
          <w:sz w:val="22"/>
          <w:szCs w:val="22"/>
        </w:rPr>
        <w:t xml:space="preserve"> may petition the academic dean for consideration of special circumstances that the professor thinks constitute justification for an exception to this regu</w:t>
      </w:r>
      <w:r w:rsidRPr="009254E1">
        <w:rPr>
          <w:rFonts w:ascii="Calibri" w:hAnsi="Calibri" w:cs="Calibri"/>
          <w:b/>
          <w:color w:val="221E1F"/>
          <w:sz w:val="22"/>
          <w:szCs w:val="22"/>
        </w:rPr>
        <w:softHyphen/>
        <w:t>lation, but under no circumstances will a student be allowed more than one additional term of probation. Owing to the differential uses of the designation, “academic probation” shall not appear on permanent records of regular gradu</w:t>
      </w:r>
      <w:r w:rsidRPr="009254E1">
        <w:rPr>
          <w:rFonts w:ascii="Calibri" w:hAnsi="Calibri" w:cs="Calibri"/>
          <w:b/>
          <w:color w:val="221E1F"/>
          <w:sz w:val="22"/>
          <w:szCs w:val="22"/>
        </w:rPr>
        <w:softHyphen/>
        <w:t xml:space="preserve">ate students. After one probationary period, however, a student whose average falls within the probationary range will receive automatic dismissal. Statuses of “academic warning,” “probation,” or “reinstated from dismissal” do not specifically prohibit a student from participating in extracurricular activities unless otherwise specified by University policy, rules, or by-laws governing the activity or organization. Consideration of the academic dismissal takes priority over any readmission application and must be resolved first. Students on dismissal are not eligible for readmission or the readmission appeal process unless they have first been reinstated by the academic dean. The academic dean is the final authority for reinstatement considerations. </w:t>
      </w:r>
    </w:p>
    <w:p w:rsidR="00202773" w:rsidRPr="009254E1" w:rsidRDefault="00202773" w:rsidP="00202773">
      <w:pPr>
        <w:ind w:left="240" w:firstLine="480"/>
        <w:rPr>
          <w:rFonts w:ascii="Calibri" w:hAnsi="Calibri" w:cs="Calibri"/>
          <w:b/>
          <w:color w:val="221E1F"/>
        </w:rPr>
      </w:pPr>
      <w:r w:rsidRPr="009254E1">
        <w:rPr>
          <w:rFonts w:ascii="Calibri" w:hAnsi="Calibri" w:cs="Calibri"/>
          <w:b/>
          <w:color w:val="221E1F"/>
        </w:rPr>
        <w:t>Students pursuing multiple degrees under different careers (i.e., graduate and undergraduate simultaneously) are subject to the retention standards of the career associated with each degree. Dismissal from one career does not automatically constitute dismissal from the second career when those careers are different (undergraduate and graduate).</w:t>
      </w:r>
    </w:p>
    <w:p w:rsidR="002E22B9" w:rsidRPr="0042351A" w:rsidRDefault="002E22B9" w:rsidP="00973AEF">
      <w:pPr>
        <w:spacing w:after="0" w:line="240" w:lineRule="auto"/>
        <w:rPr>
          <w:rFonts w:ascii="Times New Roman" w:hAnsi="Times New Roman" w:cs="Times New Roman"/>
          <w:sz w:val="24"/>
          <w:szCs w:val="24"/>
        </w:rPr>
      </w:pPr>
    </w:p>
    <w:sectPr w:rsidR="002E22B9" w:rsidRPr="004235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8A" w:rsidRDefault="0045148A" w:rsidP="0045148A">
      <w:pPr>
        <w:spacing w:after="0" w:line="240" w:lineRule="auto"/>
      </w:pPr>
      <w:r>
        <w:separator/>
      </w:r>
    </w:p>
  </w:endnote>
  <w:endnote w:type="continuationSeparator" w:id="0">
    <w:p w:rsidR="0045148A" w:rsidRDefault="0045148A" w:rsidP="0045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8A" w:rsidRDefault="0045148A" w:rsidP="0045148A">
      <w:pPr>
        <w:spacing w:after="0" w:line="240" w:lineRule="auto"/>
      </w:pPr>
      <w:r>
        <w:separator/>
      </w:r>
    </w:p>
  </w:footnote>
  <w:footnote w:type="continuationSeparator" w:id="0">
    <w:p w:rsidR="0045148A" w:rsidRDefault="0045148A" w:rsidP="00451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8A" w:rsidRDefault="0045148A">
    <w:pPr>
      <w:pStyle w:val="Header"/>
    </w:pPr>
    <w:r>
      <w:t xml:space="preserve">Approved by the GPC on 9/25/17. </w:t>
    </w:r>
  </w:p>
  <w:p w:rsidR="0045148A" w:rsidRDefault="00451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1A"/>
    <w:rsid w:val="00120146"/>
    <w:rsid w:val="001B2379"/>
    <w:rsid w:val="00202773"/>
    <w:rsid w:val="002E22B9"/>
    <w:rsid w:val="003E1552"/>
    <w:rsid w:val="0040123F"/>
    <w:rsid w:val="0042351A"/>
    <w:rsid w:val="00434B0E"/>
    <w:rsid w:val="0045148A"/>
    <w:rsid w:val="008F7CE1"/>
    <w:rsid w:val="0097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3FC0"/>
  <w15:docId w15:val="{199AA8E4-5BB6-43D8-B3F8-2B6564EA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CE1"/>
    <w:pPr>
      <w:spacing w:after="21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51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8A"/>
  </w:style>
  <w:style w:type="paragraph" w:styleId="Footer">
    <w:name w:val="footer"/>
    <w:basedOn w:val="Normal"/>
    <w:link w:val="FooterChar"/>
    <w:uiPriority w:val="99"/>
    <w:unhideWhenUsed/>
    <w:rsid w:val="0045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8A"/>
  </w:style>
  <w:style w:type="paragraph" w:customStyle="1" w:styleId="Pa4">
    <w:name w:val="Pa4"/>
    <w:basedOn w:val="Normal"/>
    <w:next w:val="Normal"/>
    <w:uiPriority w:val="99"/>
    <w:rsid w:val="00202773"/>
    <w:pPr>
      <w:autoSpaceDE w:val="0"/>
      <w:autoSpaceDN w:val="0"/>
      <w:adjustRightInd w:val="0"/>
      <w:spacing w:after="0" w:line="181" w:lineRule="atLeast"/>
    </w:pPr>
    <w:rPr>
      <w:rFonts w:ascii="Arial Narrow" w:eastAsia="Calibri"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31003">
      <w:bodyDiv w:val="1"/>
      <w:marLeft w:val="0"/>
      <w:marRight w:val="0"/>
      <w:marTop w:val="0"/>
      <w:marBottom w:val="0"/>
      <w:divBdr>
        <w:top w:val="none" w:sz="0" w:space="0" w:color="auto"/>
        <w:left w:val="none" w:sz="0" w:space="0" w:color="auto"/>
        <w:bottom w:val="none" w:sz="0" w:space="0" w:color="auto"/>
        <w:right w:val="none" w:sz="0" w:space="0" w:color="auto"/>
      </w:divBdr>
    </w:div>
    <w:div w:id="19127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Scoles, Lisa</dc:creator>
  <cp:lastModifiedBy>James Beck</cp:lastModifiedBy>
  <cp:revision>2</cp:revision>
  <dcterms:created xsi:type="dcterms:W3CDTF">2017-09-26T19:24:00Z</dcterms:created>
  <dcterms:modified xsi:type="dcterms:W3CDTF">2017-09-26T19:24:00Z</dcterms:modified>
</cp:coreProperties>
</file>